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color w:val="auto"/>
          <w:sz w:val="32"/>
          <w:szCs w:val="32"/>
        </w:rPr>
      </w:pPr>
    </w:p>
    <w:p>
      <w:pPr>
        <w:ind w:firstLine="7000" w:firstLineChars="700"/>
        <w:rPr>
          <w:rFonts w:ascii="Engravers MT" w:hAnsi="Engravers MT" w:cs="Engravers MT"/>
          <w:color w:val="auto"/>
          <w:sz w:val="112"/>
          <w:szCs w:val="112"/>
        </w:rPr>
      </w:pPr>
      <w:r>
        <w:rPr>
          <w:color w:val="auto"/>
          <w:sz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-19050</wp:posOffset>
                </wp:positionV>
                <wp:extent cx="1163955" cy="5403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95pt;margin-top:-1.5pt;height:42.55pt;width:91.65pt;z-index:251661312;mso-width-relative:page;mso-height-relative:page;" filled="f" stroked="f" coordsize="21600,21600" o:gfxdata="UEsDBAoAAAAAAIdO4kAAAAAAAAAAAAAAAAAEAAAAZHJzL1BLAwQUAAAACACHTuJAGVE+VNUAAAAH&#10;AQAADwAAAGRycy9kb3ducmV2LnhtbE2PS2/CMBCE75X4D9Yi9QZ2Qh8hzYYDVa+tSh9SbyZekoh4&#10;HcWGpP++5lSOoxnNfFNsJtuJMw2+dYyQLBUI4sqZlmuEz4+XRQbCB81Gd44J4Zc8bMrZTaFz40Z+&#10;p/Mu1CKWsM81QhNCn0vpq4as9kvXE0fv4AarQ5RDLc2gx1huO5kq9SCtbjkuNLqnbUPVcXeyCF+v&#10;h5/vO/VWP9v7fnSTkmzXEvF2nqgnEIGm8B+GC35EhzIy7d2JjRcdwmodgwiLVXx0sbPHFMQeIUsT&#10;kGUhr/nLP1BLAwQUAAAACACHTuJAovW3YNABAACPAwAADgAAAGRycy9lMm9Eb2MueG1srVPNjtMw&#10;EL4j8Q6W7zRpl66WqulKUC0XBEgLD+A6k8ZS7DFjt0l5AHgDTly481x9jh0nadmfyx64JOMZzzfz&#10;fTNeXne2EXugYNAVcjrJpQCnsTRuW8ivX25eXUkRonKlatBBIQ8Q5PXq5Ytl6xcwwxqbEkgwiAuL&#10;1heyjtEvsizoGqwKE/TgOFghWRX5SNusJNUyum2yWZ5fZi1S6Qk1hMDe9RCUIyI9BxCrymhYo95Z&#10;cHFAJWhUZEqhNj7IVd9tVYGOn6oqQBRNIZlp7L9chO1N+marpVpsSfna6LEF9ZwWHnGyyjgueoZa&#10;q6jEjswTKGs0YcAqTjTabCDSK8IspvkjbW5r5aHnwlIHfxY9/D9Y/XH/mYQpCzmTwinLAz/++nn8&#10;/ff454eYJXlaHxZ869bzvdi9xY6X5uQP7Eysu4ps+jMfwXEW93AWF7oodEqaXl68mc+l0Bybv84v&#10;ruYJJvuX7SnE94BWJKOQxMPrNVX7DyEOV09XUjGHN6Zp+gE27oGDMQcP9BswZiciQ8PJit2mG9lt&#10;sDwwOX4TXLVG+i5FyxtRyPBtpwikUE6zu5DxZL6LwwrtPJltzVm9IlnC5Tn1pMadSotw/8z2/Xe0&#10;u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UT5U1QAAAAcBAAAPAAAAAAAAAAEAIAAAACIAAABk&#10;cnMvZG93bnJldi54bWxQSwECFAAUAAAACACHTuJAovW3YNABAACPAwAADgAAAAAAAAABACAAAAAk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100"/>
          <w:szCs w:val="100"/>
        </w:rPr>
        <w:t>TB</w:t>
      </w:r>
    </w:p>
    <w:p>
      <w:pPr>
        <w:jc w:val="distribute"/>
        <w:rPr>
          <w:rFonts w:ascii="Times New Roman" w:hAnsi="Times New Roman" w:eastAsia="黑体"/>
          <w:color w:val="auto"/>
          <w:sz w:val="52"/>
          <w:szCs w:val="52"/>
        </w:rPr>
      </w:pPr>
      <w:r>
        <w:rPr>
          <w:rFonts w:ascii="Times New Roman" w:hAnsi="Times New Roman" w:eastAsia="黑体"/>
          <w:color w:val="auto"/>
          <w:sz w:val="52"/>
          <w:szCs w:val="52"/>
        </w:rPr>
        <w:t>河南省团体标准</w:t>
      </w:r>
    </w:p>
    <w:p>
      <w:pPr>
        <w:ind w:left="5670" w:leftChars="270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t xml:space="preserve">        </w:t>
      </w:r>
      <w:bookmarkStart w:id="0" w:name="_Toc12060"/>
      <w:r>
        <w:rPr>
          <w:rFonts w:ascii="Times New Roman" w:hAnsi="Times New Roman" w:eastAsia="黑体"/>
          <w:color w:val="auto"/>
          <w:sz w:val="28"/>
          <w:szCs w:val="28"/>
        </w:rPr>
        <w:t>TB/HNLA-</w:t>
      </w:r>
      <w:r>
        <w:rPr>
          <w:rFonts w:hint="eastAsia" w:ascii="Times New Roman" w:hAnsi="Times New Roman" w:eastAsia="黑体"/>
          <w:color w:val="auto"/>
          <w:sz w:val="28"/>
          <w:szCs w:val="28"/>
          <w:lang w:val="en-US" w:eastAsia="zh-CN"/>
        </w:rPr>
        <w:t>0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01</w:t>
      </w:r>
      <w:r>
        <w:rPr>
          <w:rFonts w:ascii="Times New Roman" w:hAnsi="Times New Roman"/>
          <w:color w:val="auto"/>
          <w:sz w:val="28"/>
          <w:szCs w:val="28"/>
        </w:rPr>
        <w:t>-202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>4</w:t>
      </w:r>
      <w:bookmarkEnd w:id="0"/>
    </w:p>
    <w:p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6161405" cy="10160"/>
                <wp:effectExtent l="0" t="4445" r="10795" b="139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1405" cy="101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75pt;margin-top:12.05pt;height:0.8pt;width:485.15pt;z-index:251659264;mso-width-relative:page;mso-height-relative:page;" filled="f" stroked="t" coordsize="21600,21600" o:gfxdata="UEsDBAoAAAAAAIdO4kAAAAAAAAAAAAAAAAAEAAAAZHJzL1BLAwQUAAAACACHTuJAZ743xtYAAAAH&#10;AQAADwAAAGRycy9kb3ducmV2LnhtbE2PwU7DMBBE70j8g7VI3KiTilAa4vQAKpU4QUCVenPjJTHE&#10;68h2m8LXs5zgODuj2TfV6uQGccQQrScF+SwDgdR6Y6lT8Pa6vroFEZMmowdPqOALI6zq87NKl8ZP&#10;9ILHJnWCSyiWWkGf0lhKGdsenY4zPyKx9+6D04ll6KQJeuJyN8h5lt1Ipy3xh16PeN9j+9kcnIIw&#10;bZ6nuH763prdUj58bGxTPFqlLi/y7A5EwlP6C8MvPqNDzUx7fyATxcC64KCC+XUOgu3lIuclez4U&#10;C5B1Jf/z1z9QSwMEFAAAAAgAh07iQH67pnsTAgAAEgQAAA4AAABkcnMvZTJvRG9jLnhtbK1TzY7T&#10;MBC+I/EOlu80yZatUNR0Dy3LBUElYO+u7SSW/CePt2lfghdA4gScgNPeeRp2eQzGTqmW5dIDOUTj&#10;n/lmvm8+zy92RpOtDKCcbWg1KSmRljuhbNfQd28vnzyjBCKzgmlnZUP3EujF4vGj+eBreeZ6p4UM&#10;BEEs1INvaB+jr4sCeC8Ng4nz0uJh64JhEZehK0RgA6IbXZyV5awYXBA+OC4BcHc1HtIDYjgF0LWt&#10;4nLl+LWRNo6oQWoWkRL0ygNd5G7bVvL4um1BRqIbikxj/mMRjDfpXyzmrO4C873ihxbYKS084GSY&#10;slj0CLVikZHroP6BMooHB66NE+5MMRLJiiCLqnygzZueeZm5oNTgj6LD/4Plr7brQJRo6JQSywwO&#10;/O7Dze37z3ffv/38dPPrx8cUf/1CpkmqwUONGUu7DocV+HVIvHdtMKTVyl+hp7ISyI3sstD7o9By&#10;FwnHzVk1q56W55RwPKvKapYHUYwwCc4HiC+kMyQFDYUYmOr6uHTW4khdGEuw7UuI2Agm/klIydqS&#10;AWtMz3HInKFFW7QGhsYjTbBdbg+cVuJSaZ0yIHSbpQ5ky5JN8pfoIu5f11KRFYN+vJePRgMZFWVS&#10;hNW9ZOK5FSTuPUpp8QXR1IyRghIt8cGlKN+MTOlTbmIT2iZome18YJwmMWqfoo0T+zySIq3QKrn3&#10;g62TF++vMb7/lB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e+N8bWAAAABwEAAA8AAAAAAAAA&#10;AQAgAAAAIgAAAGRycy9kb3ducmV2LnhtbFBLAQIUABQAAAAIAIdO4kB+u6Z7EwIAABIEAAAOAAAA&#10;AAAAAAEAIAAAACUBAABkcnMvZTJvRG9jLnhtbFBLBQYAAAAABgAGAFkBAACqBQAAAAA=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spacing w:line="360" w:lineRule="auto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1" w:name="_Toc13720"/>
      <w:bookmarkStart w:id="2" w:name="_Toc19241"/>
      <w:bookmarkStart w:id="3" w:name="_Toc2273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园林绿化种植土质量</w:t>
      </w:r>
      <w:bookmarkEnd w:id="1"/>
      <w:bookmarkEnd w:id="2"/>
      <w:bookmarkEnd w:id="3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标准</w:t>
      </w:r>
    </w:p>
    <w:p>
      <w:pPr>
        <w:ind w:firstLine="1400" w:firstLineChars="50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Quality standard of planting soil for landscaping</w:t>
      </w:r>
      <w:bookmarkStart w:id="21" w:name="_GoBack"/>
      <w:bookmarkEnd w:id="21"/>
    </w:p>
    <w:p>
      <w:pPr>
        <w:jc w:val="center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color w:val="auto"/>
          <w:sz w:val="52"/>
          <w:szCs w:val="52"/>
        </w:rPr>
      </w:pPr>
    </w:p>
    <w:p>
      <w:pPr>
        <w:rPr>
          <w:rFonts w:ascii="Times New Roman" w:hAnsi="Times New Roman" w:eastAsia="黑体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default" w:ascii="宋体" w:hAnsi="宋体" w:cs="宋体"/>
          <w:b/>
          <w:bCs/>
          <w:color w:val="auto"/>
          <w:sz w:val="44"/>
          <w:szCs w:val="44"/>
          <w:lang w:val="en-US"/>
        </w:rPr>
      </w:pPr>
      <w:r>
        <w:rPr>
          <w:rFonts w:ascii="Times New Roman" w:hAnsi="Times New Roman" w:eastAsia="黑体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337185</wp:posOffset>
                </wp:positionV>
                <wp:extent cx="6068695" cy="10160"/>
                <wp:effectExtent l="0" t="4445" r="8255" b="139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8695" cy="101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.5pt;margin-top:26.55pt;height:0.8pt;width:477.85pt;z-index:251660288;mso-width-relative:page;mso-height-relative:page;" filled="f" stroked="t" coordsize="21600,21600" o:gfxdata="UEsDBAoAAAAAAIdO4kAAAAAAAAAAAAAAAAAEAAAAZHJzL1BLAwQUAAAACACHTuJAt4ELQ9kAAAAI&#10;AQAADwAAAGRycy9kb3ducmV2LnhtbE2PwU7DMBBE70j8g7VI3FonLaE0xOkBVCpxKqGqxM2Nl8QQ&#10;r6PYbQpfz3KC4+ysZt4Uq7PrxAmHYD0pSKcJCKTaG0uNgt3renIHIkRNRneeUMEXBliVlxeFzo0f&#10;6QVPVWwEh1DItYI2xj6XMtQtOh2mvkdi790PTkeWQyPNoEcOd52cJcmtdNoSN7S6x4cW68/q6BQM&#10;42Y7hvXz9968LeXjx8ZW2ZNV6voqTe5BRDzHv2f4xWd0KJnp4I9kgugUTOY8JSrI5ikI9pfZbAHi&#10;wIebBciykP8HlD9QSwMEFAAAAAgAh07iQLd5+XURAgAAEgQAAA4AAABkcnMvZTJvRG9jLnhtbK1T&#10;S44TMRDdI3EHy3vSnUETDa10ZpEwbBBE4rN3/Om25J9cnnRyCS6AxApYAavZcxoYjkHZHaJh2GRB&#10;L1rlT72q9+p5frmzhmxlBO1dS6eTmhLpuBfadS198/rq0QUlkJgTzHgnW7qXQC8XDx/Mh9DIM997&#10;I2QkCOKgGUJL+5RCU1XAe2kZTHyQDg+Vj5YlXMauEpENiG5NdVbXs2rwUYTouQTA3dV4SA+I8RRA&#10;r5TmcuX5tZUujahRGpaQEvQ6AF2UbpWSPL1UCmQipqXINJU/FsF4k//VYs6aLrLQa35ogZ3Swj1O&#10;lmmHRY9QK5YYuY76HyirefTgVZpwb6uRSFEEWUzre9q86lmQhQtKDeEoOvw/WP5iu45EC3QCJY5Z&#10;HPjt+5uf7z7dfvv64+PNr+8fcvzlM5lmqYYADWYs3ToeVhDWMfPeqWiJMjq8zUh5B7mRXRF6fxRa&#10;7hLhuDmrZxezJ+eUcDyb1tNZGUQ1wuTkECE9k96SHLQUUmS669PSO4cj9XEswbbPIWEjmPgnIScb&#10;Rwas8fgch8wZWlShNTC0AWmC60p74I0WV9qYnAGx2yxNJFuWbVK+TBdx/7qWi6wY9OO9cjQayOok&#10;syKs6SUTT50gaR9QSocviOZmrBSUGIkPLkflZmLanHITmzAuQ8ti5wPjPIlR+xxtvNiXkVR5hVYp&#10;vR9snb14d43x3ae8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gQtD2QAAAAgBAAAPAAAAAAAA&#10;AAEAIAAAACIAAABkcnMvZG93bnJldi54bWxQSwECFAAUAAAACACHTuJAt3n5dRECAAASBAAADgAA&#10;AAAAAAABACAAAAAoAQAAZHJzL2Uyb0RvYy54bWxQSwUGAAAAAAYABgBZAQAAqwUAAAAA&#10;">
                <v:fill on="f" focussize="0,0"/>
                <v:stroke weight="0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黑体"/>
          <w:color w:val="auto"/>
          <w:sz w:val="28"/>
          <w:szCs w:val="28"/>
        </w:rPr>
        <w:t xml:space="preserve">                          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 xml:space="preserve">  </w:t>
      </w:r>
    </w:p>
    <w:p>
      <w:pPr>
        <w:spacing w:line="360" w:lineRule="auto"/>
        <w:jc w:val="center"/>
        <w:outlineLvl w:val="0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4" w:name="_Toc13157"/>
    </w:p>
    <w:p>
      <w:pPr>
        <w:spacing w:line="360" w:lineRule="auto"/>
        <w:jc w:val="center"/>
        <w:outlineLvl w:val="0"/>
        <w:rPr>
          <w:rFonts w:ascii="宋体" w:hAnsi="宋体" w:cs="宋体"/>
          <w:color w:val="auto"/>
        </w:rPr>
      </w:pPr>
      <w:r>
        <w:rPr>
          <w:rFonts w:ascii="宋体" w:hAnsi="宋体" w:cs="宋体"/>
          <w:b/>
          <w:bCs/>
          <w:color w:val="auto"/>
          <w:sz w:val="36"/>
          <w:szCs w:val="36"/>
        </w:rPr>
        <w:t>河南省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 xml:space="preserve">园林绿化协会    </w:t>
      </w:r>
      <w:r>
        <w:rPr>
          <w:rFonts w:ascii="宋体" w:hAnsi="宋体" w:cs="宋体"/>
          <w:b/>
          <w:bCs/>
          <w:color w:val="auto"/>
          <w:sz w:val="36"/>
          <w:szCs w:val="36"/>
        </w:rPr>
        <w:t>发布</w:t>
      </w:r>
      <w:bookmarkEnd w:id="4"/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jc w:val="center"/>
        <w:rPr>
          <w:b/>
          <w:bCs/>
          <w:color w:val="auto"/>
          <w:sz w:val="24"/>
          <w:szCs w:val="32"/>
        </w:rPr>
      </w:pPr>
      <w:r>
        <w:rPr>
          <w:rFonts w:ascii="宋体" w:hAnsi="宋体"/>
          <w:b/>
          <w:bCs/>
          <w:color w:val="auto"/>
          <w:sz w:val="30"/>
          <w:szCs w:val="30"/>
        </w:rPr>
        <w:t>目</w:t>
      </w: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 次</w:t>
      </w:r>
    </w:p>
    <w:p>
      <w:pPr>
        <w:pStyle w:val="21"/>
        <w:tabs>
          <w:tab w:val="right" w:leader="dot" w:pos="8306"/>
        </w:tabs>
        <w:rPr>
          <w:color w:val="auto"/>
        </w:rPr>
      </w:pPr>
      <w:r>
        <w:rPr>
          <w:rFonts w:ascii="宋体" w:hAnsi="宋体" w:cs="宋体"/>
          <w:color w:val="auto"/>
        </w:rPr>
        <w:fldChar w:fldCharType="begin"/>
      </w:r>
      <w:r>
        <w:rPr>
          <w:rFonts w:ascii="宋体" w:hAnsi="宋体" w:cs="宋体"/>
          <w:color w:val="auto"/>
        </w:rPr>
        <w:instrText xml:space="preserve">TOC \o "1-1" \h \u </w:instrText>
      </w:r>
      <w:r>
        <w:rPr>
          <w:rFonts w:ascii="宋体" w:hAnsi="宋体" w:cs="宋体"/>
          <w:color w:val="auto"/>
        </w:rPr>
        <w:fldChar w:fldCharType="separate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"_Toc12298"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sz w:val="24"/>
          <w:szCs w:val="24"/>
        </w:rPr>
        <w:t>前  言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"_Toc6779"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1  范围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"_Toc31549"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2  规范性引用文件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"_Toc29994"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3  术语和定义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"_Toc32120"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4  园林绿化种植土质量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"_Toc25145"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5  采样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"_Toc23336"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6  检测方法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</w:p>
    <w:p>
      <w:pPr>
        <w:pStyle w:val="21"/>
        <w:tabs>
          <w:tab w:val="right" w:leader="dot" w:pos="8306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  河南省常用绿化植物适生土壤环境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</w:p>
    <w:p>
      <w:pPr>
        <w:pStyle w:val="21"/>
        <w:tabs>
          <w:tab w:val="right" w:leader="dot" w:pos="8306"/>
        </w:tabs>
        <w:spacing w:line="360" w:lineRule="auto"/>
        <w:rPr>
          <w:rFonts w:ascii="宋体" w:hAnsi="宋体" w:cs="宋体"/>
          <w:color w:val="auto"/>
          <w:sz w:val="24"/>
          <w:szCs w:val="24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"_Toc23094"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附　录　A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0</w:t>
      </w:r>
    </w:p>
    <w:p>
      <w:pPr>
        <w:pStyle w:val="21"/>
        <w:tabs>
          <w:tab w:val="right" w:leader="dot" w:pos="8306"/>
        </w:tabs>
        <w:spacing w:line="360" w:lineRule="auto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\l "_Toc28878" </w:instrText>
      </w:r>
      <w:r>
        <w:rPr>
          <w:color w:val="auto"/>
        </w:rPr>
        <w:fldChar w:fldCharType="separate"/>
      </w:r>
      <w:r>
        <w:rPr>
          <w:rFonts w:hint="eastAsia" w:ascii="宋体" w:hAnsi="宋体" w:cs="宋体"/>
          <w:color w:val="auto"/>
          <w:kern w:val="44"/>
          <w:sz w:val="24"/>
          <w:szCs w:val="24"/>
        </w:rPr>
        <w:t>附　录　B</w:t>
      </w:r>
      <w:r>
        <w:rPr>
          <w:rFonts w:hint="eastAsia" w:ascii="宋体" w:hAnsi="宋体" w:cs="宋体"/>
          <w:color w:val="auto"/>
          <w:sz w:val="24"/>
          <w:szCs w:val="24"/>
        </w:rPr>
        <w:tab/>
      </w:r>
      <w:r>
        <w:rPr>
          <w:rFonts w:hint="eastAsia"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color w:val="auto"/>
          <w:sz w:val="24"/>
          <w:szCs w:val="24"/>
        </w:rPr>
        <w:t>2</w:t>
      </w:r>
    </w:p>
    <w:p>
      <w:pPr>
        <w:rPr>
          <w:rFonts w:ascii="宋体" w:hAnsi="宋体" w:cs="宋体"/>
          <w:color w:val="auto"/>
        </w:rPr>
      </w:pPr>
      <w:r>
        <w:rPr>
          <w:rFonts w:ascii="宋体" w:hAnsi="宋体" w:cs="宋体"/>
          <w:color w:val="auto"/>
        </w:rPr>
        <w:fldChar w:fldCharType="end"/>
      </w: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rPr>
          <w:rFonts w:ascii="宋体" w:hAnsi="宋体" w:cs="宋体"/>
          <w:color w:val="auto"/>
        </w:rPr>
      </w:pPr>
    </w:p>
    <w:p>
      <w:pPr>
        <w:pStyle w:val="2"/>
        <w:jc w:val="center"/>
        <w:rPr>
          <w:rFonts w:ascii="宋体" w:hAnsi="宋体" w:cs="宋体"/>
          <w:color w:val="auto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5" w:name="_Toc12298"/>
    </w:p>
    <w:p>
      <w:pPr>
        <w:pStyle w:val="2"/>
        <w:jc w:val="center"/>
        <w:rPr>
          <w:rFonts w:ascii="宋体" w:hAnsi="宋体" w:cs="宋体"/>
          <w:color w:val="auto"/>
          <w:sz w:val="30"/>
          <w:szCs w:val="30"/>
          <w:highlight w:val="yellow"/>
        </w:rPr>
      </w:pPr>
      <w:r>
        <w:rPr>
          <w:rFonts w:hint="eastAsia" w:ascii="宋体" w:hAnsi="宋体" w:cs="宋体"/>
          <w:color w:val="auto"/>
          <w:sz w:val="30"/>
          <w:szCs w:val="30"/>
        </w:rPr>
        <w:t>前  言</w:t>
      </w:r>
      <w:bookmarkEnd w:id="5"/>
    </w:p>
    <w:p>
      <w:pPr>
        <w:spacing w:line="56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</w:rPr>
      </w:pPr>
    </w:p>
    <w:p>
      <w:pPr>
        <w:spacing w:line="560" w:lineRule="exact"/>
        <w:ind w:left="0" w:leftChars="0"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本文件按照</w:t>
      </w:r>
      <w:r>
        <w:rPr>
          <w:rFonts w:hint="default" w:ascii="Times New Roman" w:hAnsi="Times New Roman" w:cs="Times New Roman"/>
          <w:color w:val="auto"/>
          <w:sz w:val="24"/>
        </w:rPr>
        <w:t>GB/T 1.1—2020</w:t>
      </w:r>
      <w:r>
        <w:rPr>
          <w:rFonts w:hint="eastAsia" w:ascii="宋体" w:hAnsi="宋体" w:cs="宋体"/>
          <w:color w:val="auto"/>
          <w:sz w:val="24"/>
        </w:rPr>
        <w:t>《标准化工作导则  第1部分：标准化文件的结构和起草规则》的规定起草。</w:t>
      </w:r>
    </w:p>
    <w:p>
      <w:pPr>
        <w:spacing w:line="560" w:lineRule="exact"/>
        <w:ind w:left="0" w:leftChars="0"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本文件的某些内容可能涉及专利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</w:rPr>
        <w:t>本文件的发布机构不承担识别专利的责任。</w:t>
      </w:r>
    </w:p>
    <w:p>
      <w:pPr>
        <w:spacing w:line="56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本文件由河南省园林绿化协会提出并归口。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本文件起草单位：裕华生态环境股份有限公司、河南农业大学、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河南农业职业学院、</w:t>
      </w:r>
      <w:r>
        <w:rPr>
          <w:rFonts w:hint="eastAsia" w:ascii="宋体" w:hAnsi="宋体" w:cs="宋体"/>
          <w:color w:val="auto"/>
          <w:sz w:val="24"/>
        </w:rPr>
        <w:t>镇平县城市管理局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河南美达实业有限公司、河南宏泰园林艺术工程有限公司、豫建</w:t>
      </w:r>
      <w:r>
        <w:rPr>
          <w:rFonts w:hint="eastAsia" w:ascii="宋体" w:hAnsi="宋体" w:cs="宋体"/>
          <w:color w:val="auto"/>
          <w:sz w:val="24"/>
          <w:lang w:eastAsia="zh-CN"/>
        </w:rPr>
        <w:t>建设集团有限公司</w:t>
      </w:r>
      <w:r>
        <w:rPr>
          <w:rFonts w:hint="eastAsia" w:ascii="宋体" w:hAnsi="宋体" w:cs="宋体"/>
          <w:color w:val="auto"/>
          <w:sz w:val="24"/>
        </w:rPr>
        <w:t xml:space="preserve"> </w:t>
      </w:r>
    </w:p>
    <w:p>
      <w:pPr>
        <w:spacing w:line="560" w:lineRule="exact"/>
        <w:ind w:firstLine="480" w:firstLineChars="200"/>
        <w:jc w:val="left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 xml:space="preserve">本文件起草人：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唐洁芳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>刘保国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李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强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权  燕  </w:t>
      </w:r>
      <w:r>
        <w:rPr>
          <w:rFonts w:hint="eastAsia" w:ascii="宋体" w:hAnsi="宋体" w:cs="宋体"/>
          <w:color w:val="auto"/>
          <w:sz w:val="24"/>
          <w:lang w:eastAsia="zh-CN"/>
        </w:rPr>
        <w:t>薛勤朋</w:t>
      </w:r>
    </w:p>
    <w:p>
      <w:pPr>
        <w:spacing w:line="560" w:lineRule="exact"/>
        <w:ind w:firstLine="2400" w:firstLineChars="1000"/>
        <w:jc w:val="left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罗中伟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  李志杰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王溢贤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陶良如  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王俊杰    </w:t>
      </w:r>
    </w:p>
    <w:p>
      <w:pPr>
        <w:spacing w:line="560" w:lineRule="exact"/>
        <w:ind w:firstLine="2400" w:firstLineChars="1000"/>
        <w:jc w:val="left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汤振兴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曹华凌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宋彦峰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李  凯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李爱平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      </w:t>
      </w:r>
    </w:p>
    <w:p>
      <w:pPr>
        <w:spacing w:line="560" w:lineRule="exact"/>
        <w:ind w:firstLine="2400" w:firstLineChars="1000"/>
        <w:jc w:val="left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炊玉波  李  慧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李  娜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李明宪  裴永涛     </w:t>
      </w:r>
    </w:p>
    <w:p>
      <w:pPr>
        <w:spacing w:line="560" w:lineRule="exact"/>
        <w:ind w:firstLine="2400" w:firstLineChars="1000"/>
        <w:jc w:val="left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马  兵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李  妍  董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艳</w:t>
      </w:r>
      <w:r>
        <w:rPr>
          <w:rFonts w:hint="eastAsia" w:ascii="宋体" w:hAnsi="宋体" w:cs="宋体"/>
          <w:color w:val="auto"/>
          <w:sz w:val="24"/>
          <w:lang w:eastAsia="zh-CN"/>
        </w:rPr>
        <w:t xml:space="preserve">  冶李杨  罗延龙  </w:t>
      </w:r>
    </w:p>
    <w:p>
      <w:pPr>
        <w:spacing w:line="560" w:lineRule="exact"/>
        <w:ind w:firstLine="2400" w:firstLineChars="1000"/>
        <w:jc w:val="left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王海涛  伍瑞敬  王革杰  杨  梦  曹绍旭</w:t>
      </w:r>
    </w:p>
    <w:p>
      <w:pPr>
        <w:spacing w:line="560" w:lineRule="exact"/>
        <w:ind w:firstLine="2400" w:firstLineChars="1000"/>
        <w:jc w:val="left"/>
        <w:rPr>
          <w:rFonts w:hint="default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0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pStyle w:val="3"/>
        <w:rPr>
          <w:rFonts w:ascii="宋体" w:hAnsi="宋体" w:eastAsia="宋体" w:cs="宋体"/>
          <w:color w:val="auto"/>
          <w:kern w:val="44"/>
          <w:sz w:val="30"/>
          <w:szCs w:val="30"/>
        </w:rPr>
      </w:pPr>
      <w:bookmarkStart w:id="6" w:name="_Toc6779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1  范围</w:t>
      </w:r>
      <w:bookmarkEnd w:id="6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本文件规定了园林绿化种植土质量标准的术语和定义、园林绿化种植土质量、采样、检测方法、河南省常用绿地植物适生土壤环境。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本文件适用于园林绿化工程和绿地养护管理中绿化种植土质量评定。</w:t>
      </w:r>
    </w:p>
    <w:p>
      <w:pPr>
        <w:pStyle w:val="3"/>
        <w:rPr>
          <w:rFonts w:ascii="宋体" w:hAnsi="宋体" w:eastAsia="宋体" w:cs="宋体"/>
          <w:color w:val="auto"/>
          <w:kern w:val="44"/>
          <w:sz w:val="30"/>
          <w:szCs w:val="30"/>
        </w:rPr>
      </w:pPr>
      <w:bookmarkStart w:id="7" w:name="_Toc31549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2  规范性引用文件</w:t>
      </w:r>
      <w:bookmarkEnd w:id="7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下列文件中的内容对本文件的应用是必不可少的。凡是注日期的引用文件，仅注日期对应的版本适用于本文件；凡是不注日期的引用文件，其最新版本（包括所有的修改单）适用于本文件。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GB/T 15618</w:t>
      </w:r>
      <w:r>
        <w:rPr>
          <w:rFonts w:hint="eastAsia" w:ascii="宋体" w:hAnsi="宋体" w:cs="宋体"/>
          <w:color w:val="auto"/>
          <w:sz w:val="24"/>
        </w:rPr>
        <w:t xml:space="preserve">  《土壤环境质量标准》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eastAsia="zh-CN"/>
        </w:rPr>
        <w:t>GB/T 1713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lang w:eastAsia="zh-CN"/>
        </w:rPr>
        <w:t>《土壤质量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总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铬</w:t>
      </w:r>
      <w:r>
        <w:rPr>
          <w:rFonts w:hint="eastAsia" w:ascii="宋体" w:hAnsi="宋体" w:cs="宋体"/>
          <w:color w:val="auto"/>
          <w:sz w:val="24"/>
          <w:lang w:eastAsia="zh-CN"/>
        </w:rPr>
        <w:t>的测定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火焰原子吸收分光光度法</w:t>
      </w:r>
      <w:r>
        <w:rPr>
          <w:rFonts w:hint="eastAsia" w:ascii="宋体" w:hAnsi="宋体" w:cs="宋体"/>
          <w:color w:val="auto"/>
          <w:sz w:val="24"/>
          <w:lang w:eastAsia="zh-CN"/>
        </w:rPr>
        <w:t>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GB/T 17138</w:t>
      </w:r>
      <w:r>
        <w:rPr>
          <w:rFonts w:hint="eastAsia" w:ascii="宋体" w:hAnsi="宋体" w:cs="宋体"/>
          <w:color w:val="auto"/>
          <w:sz w:val="24"/>
        </w:rPr>
        <w:t xml:space="preserve">  《土壤质量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铜、锌的测定 火焰原子吸收分光光度法》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GB/T 17139 </w:t>
      </w:r>
      <w:r>
        <w:rPr>
          <w:rFonts w:hint="eastAsia" w:ascii="宋体" w:hAnsi="宋体" w:cs="宋体"/>
          <w:color w:val="auto"/>
          <w:sz w:val="24"/>
        </w:rPr>
        <w:t xml:space="preserve"> 《土壤质量 镍的测定 火焰原子吸收分光光度法》</w:t>
      </w:r>
    </w:p>
    <w:p>
      <w:pPr>
        <w:spacing w:line="360" w:lineRule="auto"/>
        <w:ind w:left="2159" w:leftChars="228" w:hanging="1680" w:hangingChars="7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GB/T 17140 </w:t>
      </w:r>
      <w:r>
        <w:rPr>
          <w:rFonts w:hint="eastAsia" w:ascii="宋体" w:hAnsi="宋体" w:cs="宋体"/>
          <w:color w:val="auto"/>
          <w:sz w:val="24"/>
        </w:rPr>
        <w:t xml:space="preserve"> 《土壤质量 铅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 xml:space="preserve">镉的测定 </w:t>
      </w:r>
      <w:r>
        <w:rPr>
          <w:rFonts w:hint="default" w:ascii="Times New Roman" w:hAnsi="Times New Roman" w:cs="Times New Roman"/>
          <w:color w:val="auto"/>
          <w:sz w:val="24"/>
        </w:rPr>
        <w:t>KI-M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I</w:t>
      </w:r>
      <w:r>
        <w:rPr>
          <w:rFonts w:hint="default" w:ascii="Times New Roman" w:hAnsi="Times New Roman" w:cs="Times New Roman"/>
          <w:color w:val="auto"/>
          <w:sz w:val="24"/>
        </w:rPr>
        <w:t>BK</w:t>
      </w:r>
      <w:r>
        <w:rPr>
          <w:rFonts w:hint="eastAsia" w:ascii="宋体" w:hAnsi="宋体" w:cs="宋体"/>
          <w:color w:val="auto"/>
          <w:sz w:val="24"/>
        </w:rPr>
        <w:t xml:space="preserve"> 萃取火焰原子吸收分光光度法》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GB/T 17141 </w:t>
      </w:r>
      <w:r>
        <w:rPr>
          <w:rFonts w:hint="eastAsia" w:ascii="宋体" w:hAnsi="宋体" w:cs="宋体"/>
          <w:color w:val="auto"/>
          <w:sz w:val="24"/>
        </w:rPr>
        <w:t xml:space="preserve"> 《土壤质量 铅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镉的测定 石墨炉原子吸收分光光度法》</w:t>
      </w:r>
    </w:p>
    <w:p>
      <w:pPr>
        <w:spacing w:line="360" w:lineRule="auto"/>
        <w:ind w:left="2159" w:leftChars="228" w:hanging="1680" w:hangingChars="7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GB/T 22105.1</w:t>
      </w:r>
      <w:r>
        <w:rPr>
          <w:rFonts w:hint="eastAsia" w:ascii="宋体" w:hAnsi="宋体" w:cs="宋体"/>
          <w:color w:val="auto"/>
          <w:sz w:val="24"/>
        </w:rPr>
        <w:t>《土壤质量 总汞、总砷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总铅的测定 原子荧光法 第1部分:土壤中总汞的测定》</w:t>
      </w:r>
    </w:p>
    <w:p>
      <w:pPr>
        <w:spacing w:line="360" w:lineRule="auto"/>
        <w:ind w:left="2159" w:leftChars="228" w:hanging="1680" w:hangingChars="7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GB/T 22105.2</w:t>
      </w:r>
      <w:r>
        <w:rPr>
          <w:rFonts w:hint="eastAsia" w:ascii="宋体" w:hAnsi="宋体" w:cs="宋体"/>
          <w:color w:val="auto"/>
          <w:sz w:val="24"/>
        </w:rPr>
        <w:t>《土壤质量 总汞</w:t>
      </w:r>
      <w:r>
        <w:rPr>
          <w:rFonts w:hint="eastAsia" w:ascii="宋体" w:hAnsi="宋体" w:cs="宋体"/>
          <w:color w:val="auto"/>
          <w:sz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</w:rPr>
        <w:t>总砷、总铅的测定 原子荧光法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第2部分:土壤中总砷的测定》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GB 36600</w:t>
      </w:r>
      <w:r>
        <w:rPr>
          <w:rFonts w:hint="eastAsia" w:ascii="宋体" w:hAnsi="宋体" w:cs="宋体"/>
          <w:color w:val="auto"/>
          <w:sz w:val="24"/>
        </w:rPr>
        <w:t xml:space="preserve">    《土壤环境质量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建设用地土壤污染风险管控标准》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CJJ 82  </w:t>
      </w:r>
      <w:r>
        <w:rPr>
          <w:rFonts w:hint="eastAsia" w:ascii="宋体" w:hAnsi="宋体" w:cs="宋体"/>
          <w:color w:val="auto"/>
          <w:sz w:val="24"/>
        </w:rPr>
        <w:t xml:space="preserve">    《园林绿化工程施工及验收规范》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CJ/T 340</w:t>
      </w:r>
      <w:r>
        <w:rPr>
          <w:rFonts w:hint="eastAsia" w:ascii="宋体" w:hAnsi="宋体" w:cs="宋体"/>
          <w:color w:val="auto"/>
          <w:sz w:val="24"/>
        </w:rPr>
        <w:t xml:space="preserve">    《绿化种植土壤》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HJ 350  </w:t>
      </w:r>
      <w:r>
        <w:rPr>
          <w:rFonts w:hint="eastAsia" w:ascii="宋体" w:hAnsi="宋体" w:cs="宋体"/>
          <w:color w:val="auto"/>
          <w:sz w:val="24"/>
        </w:rPr>
        <w:t xml:space="preserve">    《展览会用地土壤环境质量评价标准》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JGJ155</w:t>
      </w:r>
      <w:r>
        <w:rPr>
          <w:rFonts w:hint="eastAsia" w:ascii="宋体" w:hAnsi="宋体" w:cs="宋体"/>
          <w:color w:val="auto"/>
          <w:sz w:val="24"/>
        </w:rPr>
        <w:t xml:space="preserve">     《种植屋面工程技术规程》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1215</w:t>
      </w:r>
      <w:r>
        <w:rPr>
          <w:rFonts w:hint="eastAsia" w:ascii="宋体" w:hAnsi="宋体" w:cs="宋体"/>
          <w:color w:val="auto"/>
          <w:sz w:val="24"/>
        </w:rPr>
        <w:t xml:space="preserve">   《森林土壤水分-物理性质的测定》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LY/T 1218 </w:t>
      </w:r>
      <w:r>
        <w:rPr>
          <w:rFonts w:hint="eastAsia" w:ascii="宋体" w:hAnsi="宋体" w:cs="宋体"/>
          <w:color w:val="auto"/>
          <w:sz w:val="24"/>
        </w:rPr>
        <w:t xml:space="preserve">  《森林土壤渗滤率的测定》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1225</w:t>
      </w:r>
      <w:r>
        <w:rPr>
          <w:rFonts w:hint="eastAsia" w:ascii="宋体" w:hAnsi="宋体" w:cs="宋体"/>
          <w:color w:val="auto"/>
          <w:sz w:val="24"/>
        </w:rPr>
        <w:t xml:space="preserve"> 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《森林土壤颗粒组成(机械组成)的测定》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122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8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 xml:space="preserve"> 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《森林土壤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氮</w:t>
      </w:r>
      <w:r>
        <w:rPr>
          <w:rFonts w:hint="eastAsia" w:ascii="宋体" w:hAnsi="宋体" w:cs="宋体"/>
          <w:color w:val="auto"/>
          <w:sz w:val="24"/>
        </w:rPr>
        <w:t>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123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 xml:space="preserve">    《森林土壤有效磷的测定》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123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 xml:space="preserve">    《森林土壤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速效</w:t>
      </w:r>
      <w:r>
        <w:rPr>
          <w:rFonts w:hint="eastAsia" w:ascii="宋体" w:hAnsi="宋体" w:cs="宋体"/>
          <w:color w:val="auto"/>
          <w:sz w:val="24"/>
        </w:rPr>
        <w:t>钾的测定》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1237</w:t>
      </w:r>
      <w:r>
        <w:rPr>
          <w:rFonts w:hint="eastAsia" w:ascii="宋体" w:hAnsi="宋体" w:cs="宋体"/>
          <w:color w:val="auto"/>
          <w:sz w:val="24"/>
        </w:rPr>
        <w:t xml:space="preserve">    《森林土壤有机质的测定及碳氮比的计算》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LY/T 1239 </w:t>
      </w:r>
      <w:r>
        <w:rPr>
          <w:rFonts w:hint="eastAsia" w:ascii="宋体" w:hAnsi="宋体" w:cs="宋体"/>
          <w:color w:val="auto"/>
          <w:sz w:val="24"/>
        </w:rPr>
        <w:t xml:space="preserve">   《森林土壤pH值的测定》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LY/T 1243 </w:t>
      </w:r>
      <w:r>
        <w:rPr>
          <w:rFonts w:hint="eastAsia" w:ascii="宋体" w:hAnsi="宋体" w:cs="宋体"/>
          <w:color w:val="auto"/>
          <w:sz w:val="24"/>
        </w:rPr>
        <w:t xml:space="preserve">   《森林土壤阳离子交换量的测定》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 xml:space="preserve">LY/T 1251 </w:t>
      </w:r>
      <w:r>
        <w:rPr>
          <w:rFonts w:hint="eastAsia" w:ascii="宋体" w:hAnsi="宋体" w:cs="宋体"/>
          <w:color w:val="auto"/>
          <w:sz w:val="24"/>
        </w:rPr>
        <w:t xml:space="preserve">   《森林土壤水溶性盐分分析》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LY/T 1970</w:t>
      </w:r>
      <w:r>
        <w:rPr>
          <w:rFonts w:hint="eastAsia" w:ascii="宋体" w:hAnsi="宋体" w:cs="宋体"/>
          <w:color w:val="auto"/>
          <w:sz w:val="24"/>
        </w:rPr>
        <w:t xml:space="preserve">    《绿化用有机基质》</w:t>
      </w:r>
    </w:p>
    <w:p>
      <w:pPr>
        <w:pStyle w:val="3"/>
        <w:rPr>
          <w:rFonts w:ascii="宋体" w:hAnsi="宋体" w:eastAsia="宋体" w:cs="宋体"/>
          <w:color w:val="auto"/>
          <w:kern w:val="44"/>
          <w:sz w:val="30"/>
          <w:szCs w:val="30"/>
        </w:rPr>
      </w:pPr>
      <w:bookmarkStart w:id="8" w:name="_Toc29994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3  术语和定义</w:t>
      </w:r>
      <w:bookmarkEnd w:id="8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下列术语和定义适用于本文件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3.1园林绿化种植土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园林中用于种植乔木、灌木、地被、花卉、草坪等植物的自然土壤或人工配制土壤。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3.2 花坛种植土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适用于花坛内种植一、二年生草花或球根、宿根花卉的土壤。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3.3花境种植土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适用于花镜内种植宿根花卉及花灌木的土壤。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3.4 树</w:t>
      </w:r>
      <w:r>
        <w:rPr>
          <w:rFonts w:hint="eastAsia" w:ascii="宋体" w:hAnsi="宋体" w:cs="宋体"/>
          <w:color w:val="auto"/>
          <w:sz w:val="24"/>
          <w:lang w:eastAsia="zh-CN"/>
        </w:rPr>
        <w:t>池</w:t>
      </w:r>
      <w:r>
        <w:rPr>
          <w:rFonts w:hint="eastAsia" w:ascii="宋体" w:hAnsi="宋体" w:cs="宋体"/>
          <w:color w:val="auto"/>
          <w:sz w:val="24"/>
        </w:rPr>
        <w:t xml:space="preserve">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以树</w:t>
      </w:r>
      <w:r>
        <w:rPr>
          <w:rFonts w:hint="eastAsia" w:ascii="宋体" w:hAnsi="宋体" w:cs="宋体"/>
          <w:color w:val="auto"/>
          <w:sz w:val="24"/>
          <w:lang w:eastAsia="zh-CN"/>
        </w:rPr>
        <w:t>池</w:t>
      </w:r>
      <w:r>
        <w:rPr>
          <w:rFonts w:hint="eastAsia" w:ascii="宋体" w:hAnsi="宋体" w:cs="宋体"/>
          <w:color w:val="auto"/>
          <w:sz w:val="24"/>
        </w:rPr>
        <w:t>形式孤植、列植、群植园林绿化植物的土壤。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3.5草坪种植土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适用于</w:t>
      </w:r>
      <w:r>
        <w:rPr>
          <w:rFonts w:hint="eastAsia" w:ascii="宋体" w:hAnsi="宋体" w:cs="宋体"/>
          <w:color w:val="auto"/>
          <w:sz w:val="24"/>
          <w:szCs w:val="24"/>
        </w:rPr>
        <w:t>一般草坪</w:t>
      </w:r>
      <w:r>
        <w:rPr>
          <w:rFonts w:hint="eastAsia" w:ascii="宋体" w:hAnsi="宋体" w:cs="宋体"/>
          <w:color w:val="auto"/>
          <w:sz w:val="24"/>
        </w:rPr>
        <w:t>、运动型草坪等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草坪种植</w:t>
      </w:r>
      <w:r>
        <w:rPr>
          <w:rFonts w:hint="eastAsia" w:ascii="宋体" w:hAnsi="宋体" w:cs="宋体"/>
          <w:color w:val="auto"/>
          <w:sz w:val="24"/>
        </w:rPr>
        <w:t>的土壤。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3.6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 xml:space="preserve">苗圃种植土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苗圃地育苗、备苗用的土壤，主要分地栽、苗床、容器等三种类型。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3.7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 xml:space="preserve">屋顶绿化种植土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适用于屋顶或其他建筑物上栽植园林绿化植物的土壤。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3.8 土壤全盐量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在一定水土比例（一般采用</w:t>
      </w:r>
      <w:r>
        <w:rPr>
          <w:rFonts w:hint="eastAsia" w:ascii="Times New Roman" w:hAnsi="Times New Roman" w:cs="Times New Roman"/>
          <w:color w:val="auto"/>
          <w:sz w:val="24"/>
        </w:rPr>
        <w:t>5:1</w:t>
      </w:r>
      <w:r>
        <w:rPr>
          <w:rFonts w:hint="eastAsia" w:ascii="宋体" w:hAnsi="宋体" w:cs="宋体"/>
          <w:color w:val="auto"/>
          <w:sz w:val="24"/>
        </w:rPr>
        <w:t>）和一定时间内浸提出来的土壤可溶性盐分总量。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3.9 土壤酸碱度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土壤酸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度和碱度的总称</w:t>
      </w:r>
      <w:r>
        <w:rPr>
          <w:rFonts w:hint="eastAsia" w:ascii="宋体" w:hAnsi="宋体" w:cs="宋体"/>
          <w:color w:val="auto"/>
          <w:sz w:val="24"/>
        </w:rPr>
        <w:t>，用氢离子浓度的负对数表示，即</w:t>
      </w:r>
      <w:r>
        <w:rPr>
          <w:rFonts w:hint="eastAsia" w:ascii="Times New Roman" w:hAnsi="Times New Roman" w:cs="Times New Roman"/>
          <w:color w:val="auto"/>
          <w:sz w:val="24"/>
        </w:rPr>
        <w:t>pH</w:t>
      </w:r>
      <w:r>
        <w:rPr>
          <w:rFonts w:hint="eastAsia" w:ascii="宋体" w:hAnsi="宋体" w:cs="宋体"/>
          <w:color w:val="auto"/>
          <w:sz w:val="24"/>
        </w:rPr>
        <w:t xml:space="preserve"> 值=-</w:t>
      </w:r>
      <w:r>
        <w:rPr>
          <w:rFonts w:hint="eastAsia" w:ascii="Times New Roman" w:hAnsi="Times New Roman" w:cs="Times New Roman"/>
          <w:color w:val="auto"/>
          <w:sz w:val="24"/>
        </w:rPr>
        <w:t>log[H+]。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3.10 土壤有机质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土壤中所有含碳的有机物质，包括土壤中各种动、植物残体、微生物体及其分解和合成的各种有机物质，单位为克/千克(</w:t>
      </w:r>
      <w:r>
        <w:rPr>
          <w:rFonts w:hint="eastAsia" w:ascii="Times New Roman" w:hAnsi="Times New Roman" w:cs="Times New Roman"/>
          <w:color w:val="auto"/>
          <w:sz w:val="24"/>
        </w:rPr>
        <w:t>g/kg</w:t>
      </w:r>
      <w:r>
        <w:rPr>
          <w:rFonts w:hint="eastAsia" w:ascii="宋体" w:hAnsi="宋体" w:cs="宋体"/>
          <w:color w:val="auto"/>
          <w:sz w:val="24"/>
        </w:rPr>
        <w:t>)。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3.11  土壤通气孔隙度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土壤中直径大于 </w:t>
      </w:r>
      <w:r>
        <w:rPr>
          <w:rFonts w:hint="eastAsia" w:ascii="Times New Roman" w:hAnsi="Times New Roman" w:cs="Times New Roman"/>
          <w:color w:val="auto"/>
          <w:sz w:val="24"/>
        </w:rPr>
        <w:t>0.1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mm</w:t>
      </w:r>
      <w:r>
        <w:rPr>
          <w:rFonts w:hint="eastAsia" w:ascii="宋体" w:hAnsi="宋体" w:cs="宋体"/>
          <w:color w:val="auto"/>
          <w:sz w:val="24"/>
        </w:rPr>
        <w:t xml:space="preserve"> 的孔隙占总孔隙的比例，用百分率 (</w:t>
      </w:r>
      <w:r>
        <w:rPr>
          <w:rFonts w:hint="eastAsia" w:ascii="Times New Roman" w:hAnsi="Times New Roman" w:cs="Times New Roman"/>
          <w:color w:val="auto"/>
          <w:sz w:val="24"/>
        </w:rPr>
        <w:t>%</w:t>
      </w:r>
      <w:r>
        <w:rPr>
          <w:rFonts w:hint="eastAsia" w:ascii="宋体" w:hAnsi="宋体" w:cs="宋体"/>
          <w:color w:val="auto"/>
          <w:sz w:val="24"/>
        </w:rPr>
        <w:t>)表示，这类孔隙没有毛管作用，充满空气，称非毛管孔隙，也称通气孔隙。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3.12  有效土层厚度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能提供植物根系正常生长发育的土壤厚度，单位为厘米(</w:t>
      </w:r>
      <w:r>
        <w:rPr>
          <w:rFonts w:hint="eastAsia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>)。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3.13  土壤质地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对土壤中不同粗细的土粒(黏粒、粉沙粒、砂粒) 组成比例综合度量。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3.14  石粒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有效粒径大于</w:t>
      </w:r>
      <w:r>
        <w:rPr>
          <w:rFonts w:hint="eastAsia" w:ascii="Times New Roman" w:hAnsi="Times New Roman" w:cs="Times New Roman"/>
          <w:color w:val="auto"/>
          <w:sz w:val="24"/>
        </w:rPr>
        <w:t>2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mm</w:t>
      </w:r>
      <w:r>
        <w:rPr>
          <w:rFonts w:hint="eastAsia" w:ascii="宋体" w:hAnsi="宋体" w:cs="宋体"/>
          <w:color w:val="auto"/>
          <w:sz w:val="24"/>
        </w:rPr>
        <w:t>的石砾。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3.15  土壤容重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ascii="ˎ̥" w:hAnsi="ˎ̥" w:cs="宋体"/>
          <w:color w:val="auto"/>
          <w:kern w:val="0"/>
          <w:sz w:val="24"/>
          <w:szCs w:val="24"/>
        </w:rPr>
        <w:t>是指单位容积原状土壤干土的质量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default" w:ascii="Times New Roman" w:hAnsi="Times New Roman" w:cs="Times New Roman"/>
          <w:color w:val="auto"/>
          <w:sz w:val="24"/>
        </w:rPr>
        <w:t>g/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c</w:t>
      </w:r>
      <w:r>
        <w:rPr>
          <w:rFonts w:hint="default" w:ascii="Times New Roman" w:hAnsi="Times New Roman" w:cs="Times New Roman"/>
          <w:color w:val="auto"/>
          <w:sz w:val="24"/>
        </w:rPr>
        <w:t>m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3</w:t>
      </w:r>
      <w:r>
        <w:rPr>
          <w:rFonts w:hint="eastAsia" w:ascii="宋体" w:hAnsi="宋体" w:cs="宋体"/>
          <w:color w:val="auto"/>
          <w:sz w:val="24"/>
        </w:rPr>
        <w:t>）。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3.16  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水解性氮</w:t>
      </w:r>
      <w:r>
        <w:rPr>
          <w:rFonts w:hint="eastAsia" w:ascii="宋体" w:hAnsi="宋体" w:cs="宋体"/>
          <w:color w:val="auto"/>
          <w:sz w:val="24"/>
        </w:rPr>
        <w:t xml:space="preserve"> </w:t>
      </w:r>
    </w:p>
    <w:p>
      <w:pPr>
        <w:spacing w:line="360" w:lineRule="auto"/>
        <w:ind w:firstLine="720" w:firstLineChars="300"/>
        <w:rPr>
          <w:rFonts w:ascii="宋体" w:hAnsi="宋体" w:cs="宋体"/>
          <w:color w:val="auto"/>
          <w:sz w:val="24"/>
        </w:rPr>
      </w:pP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水解性氮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或称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土壤碱解氮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ascii="Arial" w:hAnsi="Arial" w:eastAsia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包括无机态氮（铵态氮、硝态氮）及易水解的有机态氮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3.17  客土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     非当地原生的、由别处移来用于置换原生土的外地土壤，通常是指质地好的壤土(沙壤土)或人工土壤。      </w:t>
      </w:r>
      <w:bookmarkStart w:id="9" w:name="_Toc32120"/>
    </w:p>
    <w:p>
      <w:pPr>
        <w:spacing w:line="360" w:lineRule="auto"/>
        <w:rPr>
          <w:rFonts w:ascii="宋体" w:hAnsi="宋体" w:cs="宋体"/>
          <w:b/>
          <w:color w:val="auto"/>
          <w:kern w:val="44"/>
          <w:sz w:val="30"/>
          <w:szCs w:val="30"/>
        </w:rPr>
      </w:pPr>
      <w:r>
        <w:rPr>
          <w:rFonts w:hint="eastAsia" w:ascii="宋体" w:hAnsi="宋体" w:cs="宋体"/>
          <w:b/>
          <w:color w:val="auto"/>
          <w:kern w:val="44"/>
          <w:sz w:val="30"/>
          <w:szCs w:val="30"/>
        </w:rPr>
        <w:t>4   园林绿化种植土质量</w:t>
      </w:r>
      <w:bookmarkEnd w:id="9"/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  一般规定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4.1.1 园林绿化种植土必须满足绿化植物生长所需水、肥、气、热的条件。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4.1.2 园林绿化种植土应疏松、无毒且无石块、玻璃、建筑垃圾及其他杂物。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4.1.3 园林绿化种植土应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使用物理、化学等方法对土壤中的有害物质</w:t>
      </w:r>
      <w:r>
        <w:rPr>
          <w:rFonts w:hint="eastAsia" w:ascii="宋体" w:hAnsi="宋体" w:cs="宋体"/>
          <w:color w:val="auto"/>
          <w:sz w:val="24"/>
        </w:rPr>
        <w:t>进行消毒。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4.1.4 园林绿化种植土有效土层厚度应符合</w:t>
      </w:r>
      <w:r>
        <w:rPr>
          <w:rFonts w:hint="eastAsia" w:ascii="Times New Roman" w:hAnsi="Times New Roman" w:cs="Times New Roman"/>
          <w:color w:val="auto"/>
          <w:sz w:val="24"/>
        </w:rPr>
        <w:t>CJJ 82</w:t>
      </w:r>
      <w:r>
        <w:rPr>
          <w:rFonts w:hint="eastAsia" w:ascii="宋体" w:hAnsi="宋体" w:cs="宋体"/>
          <w:color w:val="auto"/>
          <w:sz w:val="24"/>
        </w:rPr>
        <w:t>的规定。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4.1.5 园林绿化种植土肥力指标和安全指标应符合</w:t>
      </w:r>
      <w:r>
        <w:rPr>
          <w:rFonts w:hint="eastAsia" w:ascii="Times New Roman" w:hAnsi="Times New Roman" w:cs="Times New Roman"/>
          <w:color w:val="auto"/>
          <w:sz w:val="24"/>
        </w:rPr>
        <w:t xml:space="preserve"> CJ/T 340</w:t>
      </w:r>
      <w:r>
        <w:rPr>
          <w:rFonts w:hint="eastAsia" w:ascii="宋体" w:hAnsi="宋体" w:cs="宋体"/>
          <w:color w:val="auto"/>
          <w:sz w:val="24"/>
        </w:rPr>
        <w:t xml:space="preserve"> 的规定。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</w:rPr>
        <w:t>4.2  理化性状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规定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4.2.1一般园林种植土应疏松肥沃、排水性良好，土壤质地多为沙质壤土至轻黏土，应符合表</w:t>
      </w:r>
      <w:r>
        <w:rPr>
          <w:rFonts w:hint="eastAsia" w:ascii="Times New Roman" w:hAnsi="Times New Roman" w:cs="Times New Roman"/>
          <w:color w:val="auto"/>
          <w:sz w:val="24"/>
        </w:rPr>
        <w:t>4.2.1</w:t>
      </w:r>
      <w:r>
        <w:rPr>
          <w:rFonts w:hint="eastAsia" w:ascii="宋体" w:hAnsi="宋体" w:cs="宋体"/>
          <w:color w:val="auto"/>
          <w:sz w:val="24"/>
        </w:rPr>
        <w:t>中主要理化性状的规定：</w:t>
      </w:r>
    </w:p>
    <w:p>
      <w:pPr>
        <w:jc w:val="center"/>
        <w:rPr>
          <w:rFonts w:ascii="宋体" w:hAnsi="宋体" w:cs="宋体"/>
          <w:color w:val="auto"/>
          <w:szCs w:val="21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表</w:t>
      </w:r>
      <w:r>
        <w:rPr>
          <w:rFonts w:hint="eastAsia" w:ascii="Times New Roman" w:hAnsi="Times New Roman" w:cs="Times New Roman"/>
          <w:color w:val="auto"/>
          <w:sz w:val="24"/>
        </w:rPr>
        <w:t>4.2.1</w:t>
      </w:r>
      <w:r>
        <w:rPr>
          <w:rFonts w:hint="eastAsia" w:ascii="宋体" w:hAnsi="宋体" w:cs="宋体"/>
          <w:color w:val="auto"/>
          <w:szCs w:val="21"/>
        </w:rPr>
        <w:t xml:space="preserve"> 一般园林种植土主要理化性状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</w:p>
    <w:tbl>
      <w:tblPr>
        <w:tblStyle w:val="20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069"/>
        <w:gridCol w:w="970"/>
        <w:gridCol w:w="945"/>
        <w:gridCol w:w="919"/>
        <w:gridCol w:w="1144"/>
        <w:gridCol w:w="958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项目类别</w:t>
            </w:r>
          </w:p>
        </w:tc>
        <w:tc>
          <w:tcPr>
            <w:tcW w:w="10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pH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值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（g/kg）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ind w:firstLine="180" w:firstLineChars="10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4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粒径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（cm）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含量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一般园林种植土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6.5～8.5</w:t>
            </w:r>
          </w:p>
        </w:tc>
        <w:tc>
          <w:tcPr>
            <w:tcW w:w="9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≤0.3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≥10</w:t>
            </w: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≤1.35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≥10</w:t>
            </w:r>
          </w:p>
        </w:tc>
        <w:tc>
          <w:tcPr>
            <w:tcW w:w="9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2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&lt;13</w:t>
            </w:r>
          </w:p>
        </w:tc>
      </w:tr>
    </w:tbl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4.2.2  花坛种植土、花境种植土的主要理化性状应符合表</w:t>
      </w:r>
      <w:r>
        <w:rPr>
          <w:rFonts w:hint="default" w:ascii="Times New Roman" w:hAnsi="Times New Roman" w:cs="Times New Roman"/>
          <w:color w:val="auto"/>
          <w:sz w:val="24"/>
        </w:rPr>
        <w:t xml:space="preserve"> 4.2.2 </w:t>
      </w:r>
      <w:r>
        <w:rPr>
          <w:rFonts w:hint="eastAsia" w:ascii="宋体" w:hAnsi="宋体" w:cs="宋体"/>
          <w:color w:val="auto"/>
          <w:sz w:val="24"/>
        </w:rPr>
        <w:t>的规定：</w:t>
      </w:r>
    </w:p>
    <w:p>
      <w:pPr>
        <w:spacing w:line="240" w:lineRule="atLeast"/>
        <w:jc w:val="center"/>
        <w:rPr>
          <w:rFonts w:ascii="宋体" w:hAnsi="宋体" w:cs="宋体"/>
          <w:color w:val="auto"/>
        </w:rPr>
      </w:pPr>
    </w:p>
    <w:p>
      <w:pPr>
        <w:spacing w:line="240" w:lineRule="atLeast"/>
        <w:jc w:val="center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</w:rPr>
        <w:t>表 4.2.2 花坛种植土、花境种植土的主要理化性状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</w:p>
    <w:tbl>
      <w:tblPr>
        <w:tblStyle w:val="20"/>
        <w:tblW w:w="8586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46"/>
        <w:gridCol w:w="927"/>
        <w:gridCol w:w="900"/>
        <w:gridCol w:w="936"/>
        <w:gridCol w:w="1208"/>
        <w:gridCol w:w="1047"/>
        <w:gridCol w:w="745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pH 值</w:t>
            </w:r>
          </w:p>
        </w:tc>
        <w:tc>
          <w:tcPr>
            <w:tcW w:w="9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（g/kg）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10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有效土层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(cm)</w:t>
            </w:r>
          </w:p>
        </w:tc>
        <w:tc>
          <w:tcPr>
            <w:tcW w:w="16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粒径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（cm）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含量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花坛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6.0～8.0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≤0.13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30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≤1.00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15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30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≤0.5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花境</w:t>
            </w:r>
          </w:p>
        </w:tc>
        <w:tc>
          <w:tcPr>
            <w:tcW w:w="9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6.5～8.0</w:t>
            </w:r>
          </w:p>
        </w:tc>
        <w:tc>
          <w:tcPr>
            <w:tcW w:w="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≤0.13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25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≤1.25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0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≥ 50</w:t>
            </w:r>
          </w:p>
        </w:tc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≤1</w:t>
            </w:r>
          </w:p>
        </w:tc>
        <w:tc>
          <w:tcPr>
            <w:tcW w:w="9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≤10</w:t>
            </w:r>
          </w:p>
        </w:tc>
      </w:tr>
    </w:tbl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4.2.3  树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池</w:t>
      </w:r>
      <w:r>
        <w:rPr>
          <w:rFonts w:hint="eastAsia" w:ascii="宋体" w:hAnsi="宋体" w:cs="宋体"/>
          <w:color w:val="auto"/>
          <w:sz w:val="24"/>
        </w:rPr>
        <w:t xml:space="preserve">种植土的主要理化性状应符合表 </w:t>
      </w:r>
      <w:r>
        <w:rPr>
          <w:rFonts w:hint="default" w:ascii="Times New Roman" w:hAnsi="Times New Roman" w:cs="Times New Roman"/>
          <w:color w:val="auto"/>
          <w:sz w:val="24"/>
        </w:rPr>
        <w:t xml:space="preserve">4.2.3 </w:t>
      </w:r>
      <w:r>
        <w:rPr>
          <w:rFonts w:hint="eastAsia" w:ascii="宋体" w:hAnsi="宋体" w:cs="宋体"/>
          <w:color w:val="auto"/>
          <w:sz w:val="24"/>
        </w:rPr>
        <w:t>的规定：</w:t>
      </w:r>
    </w:p>
    <w:p>
      <w:pPr>
        <w:jc w:val="center"/>
        <w:rPr>
          <w:rFonts w:ascii="宋体" w:hAnsi="宋体" w:cs="宋体"/>
          <w:color w:val="auto"/>
        </w:rPr>
      </w:pPr>
    </w:p>
    <w:p>
      <w:pPr>
        <w:jc w:val="center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表 4.2.3 树</w:t>
      </w:r>
      <w:r>
        <w:rPr>
          <w:rFonts w:hint="eastAsia" w:ascii="宋体" w:hAnsi="宋体" w:cs="宋体"/>
          <w:color w:val="auto"/>
          <w:lang w:eastAsia="zh-CN"/>
        </w:rPr>
        <w:t>池</w:t>
      </w:r>
      <w:r>
        <w:rPr>
          <w:rFonts w:hint="eastAsia" w:ascii="宋体" w:hAnsi="宋体" w:cs="宋体"/>
          <w:color w:val="auto"/>
        </w:rPr>
        <w:t>种植土的主要理化性状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</w:p>
    <w:tbl>
      <w:tblPr>
        <w:tblStyle w:val="20"/>
        <w:tblW w:w="903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94"/>
        <w:gridCol w:w="955"/>
        <w:gridCol w:w="988"/>
        <w:gridCol w:w="1023"/>
        <w:gridCol w:w="1200"/>
        <w:gridCol w:w="1448"/>
        <w:gridCol w:w="761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9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pH 值</w:t>
            </w:r>
          </w:p>
        </w:tc>
        <w:tc>
          <w:tcPr>
            <w:tcW w:w="9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（g/kg）</w:t>
            </w:r>
          </w:p>
        </w:tc>
        <w:tc>
          <w:tcPr>
            <w:tcW w:w="10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14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有效土层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(cm)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粒径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（cm）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含量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乔木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6.5～8.5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15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1.30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灌木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6.5～8.5</w:t>
            </w:r>
          </w:p>
        </w:tc>
        <w:tc>
          <w:tcPr>
            <w:tcW w:w="9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≤0.15</w:t>
            </w: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15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1.25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4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80</w:t>
            </w:r>
          </w:p>
        </w:tc>
        <w:tc>
          <w:tcPr>
            <w:tcW w:w="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≤2</w:t>
            </w:r>
          </w:p>
        </w:tc>
        <w:tc>
          <w:tcPr>
            <w:tcW w:w="8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10</w:t>
            </w:r>
          </w:p>
        </w:tc>
      </w:tr>
    </w:tbl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 w:val="24"/>
        </w:rPr>
        <w:t xml:space="preserve">4.2.4  草坪种植土的主要理化性状应符合表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</w:rPr>
        <w:t>.2.4</w:t>
      </w:r>
      <w:r>
        <w:rPr>
          <w:rFonts w:hint="eastAsia" w:ascii="宋体" w:hAnsi="宋体" w:cs="宋体"/>
          <w:color w:val="auto"/>
          <w:sz w:val="24"/>
        </w:rPr>
        <w:t xml:space="preserve"> 的规定：</w:t>
      </w:r>
      <w:r>
        <w:rPr>
          <w:rFonts w:hint="eastAsia" w:ascii="宋体" w:hAnsi="宋体" w:cs="宋体"/>
          <w:color w:val="auto"/>
        </w:rPr>
        <w:t xml:space="preserve">  </w:t>
      </w:r>
    </w:p>
    <w:tbl>
      <w:tblPr>
        <w:tblStyle w:val="20"/>
        <w:tblpPr w:leftFromText="180" w:rightFromText="180" w:vertAnchor="text" w:horzAnchor="page" w:tblpX="1580" w:tblpY="624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37"/>
        <w:gridCol w:w="913"/>
        <w:gridCol w:w="900"/>
        <w:gridCol w:w="962"/>
        <w:gridCol w:w="1288"/>
        <w:gridCol w:w="98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值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（g/kg）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有效土层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(cm)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一般草坪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1.30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≥10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25</w:t>
            </w: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直播时土块应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cm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，无石砾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运动型草坪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6.5～7.5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15</w:t>
            </w:r>
          </w:p>
        </w:tc>
        <w:tc>
          <w:tcPr>
            <w:tcW w:w="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1.30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25</w:t>
            </w: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　　　　　　　</w:t>
      </w:r>
    </w:p>
    <w:p>
      <w:pPr>
        <w:jc w:val="center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</w:rPr>
        <w:t>表 4.2.4 草坪种植土的主要理化性状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</w:p>
    <w:p>
      <w:pPr>
        <w:rPr>
          <w:rFonts w:hint="eastAsia"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 xml:space="preserve">  屋顶栽植种植土的主要理化性状应符合表</w:t>
      </w:r>
      <w:r>
        <w:rPr>
          <w:rFonts w:hint="default" w:ascii="Times New Roman" w:hAnsi="Times New Roman" w:cs="Times New Roman"/>
          <w:color w:val="auto"/>
          <w:sz w:val="24"/>
        </w:rPr>
        <w:t xml:space="preserve"> 4.2.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 xml:space="preserve"> 的规定：</w:t>
      </w:r>
    </w:p>
    <w:p>
      <w:pPr>
        <w:jc w:val="center"/>
        <w:rPr>
          <w:rFonts w:ascii="宋体" w:hAnsi="宋体" w:cs="宋体"/>
          <w:color w:val="auto"/>
          <w:szCs w:val="21"/>
        </w:rPr>
      </w:pPr>
    </w:p>
    <w:p>
      <w:pPr>
        <w:jc w:val="center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 xml:space="preserve">   表4.2.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auto"/>
          <w:szCs w:val="21"/>
        </w:rPr>
        <w:t xml:space="preserve"> 屋顶种植土的主要理化性状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  <w:r>
        <w:rPr>
          <w:rFonts w:hint="eastAsia" w:ascii="宋体" w:hAnsi="宋体" w:cs="宋体"/>
          <w:color w:val="auto"/>
          <w:szCs w:val="21"/>
        </w:rPr>
        <w:t xml:space="preserve">                </w:t>
      </w:r>
    </w:p>
    <w:tbl>
      <w:tblPr>
        <w:tblStyle w:val="20"/>
        <w:tblW w:w="8691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20"/>
        <w:gridCol w:w="936"/>
        <w:gridCol w:w="984"/>
        <w:gridCol w:w="1043"/>
        <w:gridCol w:w="1186"/>
        <w:gridCol w:w="1049"/>
        <w:gridCol w:w="710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pH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值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8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（g/kg）</w:t>
            </w:r>
          </w:p>
        </w:tc>
        <w:tc>
          <w:tcPr>
            <w:tcW w:w="10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8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（％）</w:t>
            </w:r>
          </w:p>
        </w:tc>
        <w:tc>
          <w:tcPr>
            <w:tcW w:w="10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有效土层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(cm)</w:t>
            </w: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98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0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18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0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粒径 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（cm）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含量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乔木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7.0～8.5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≥35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≥80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≤2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灌木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≥30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≥45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≤2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地被、草坪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≥25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1.2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10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≥20</w:t>
            </w:r>
          </w:p>
        </w:tc>
        <w:tc>
          <w:tcPr>
            <w:tcW w:w="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≤2</w:t>
            </w:r>
          </w:p>
        </w:tc>
        <w:tc>
          <w:tcPr>
            <w:tcW w:w="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</w:tbl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 w:val="24"/>
        </w:rPr>
        <w:t>4.2.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 xml:space="preserve"> 苗圃地种植土主要理化性状应符合表 </w:t>
      </w:r>
      <w:r>
        <w:rPr>
          <w:rFonts w:hint="default" w:ascii="Times New Roman" w:hAnsi="Times New Roman" w:cs="Times New Roman"/>
          <w:color w:val="auto"/>
          <w:sz w:val="24"/>
        </w:rPr>
        <w:t>4.2.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>的规定</w:t>
      </w:r>
    </w:p>
    <w:p>
      <w:pPr>
        <w:jc w:val="left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　　　　　　　　　　</w:t>
      </w:r>
    </w:p>
    <w:p>
      <w:pPr>
        <w:jc w:val="center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表 4.2.</w:t>
      </w:r>
      <w:r>
        <w:rPr>
          <w:rFonts w:hint="eastAsia" w:ascii="宋体" w:hAnsi="宋体" w:cs="宋体"/>
          <w:color w:val="auto"/>
          <w:lang w:val="en-US" w:eastAsia="zh-CN"/>
        </w:rPr>
        <w:t>6</w:t>
      </w:r>
      <w:r>
        <w:rPr>
          <w:rFonts w:hint="eastAsia" w:ascii="宋体" w:hAnsi="宋体" w:cs="宋体"/>
          <w:color w:val="auto"/>
        </w:rPr>
        <w:t xml:space="preserve"> 苗圃地种植土主要理化性状</w:t>
      </w:r>
      <w:r>
        <w:rPr>
          <w:rFonts w:hint="eastAsia" w:ascii="宋体" w:hAnsi="宋体" w:cs="宋体"/>
          <w:color w:val="auto"/>
          <w:szCs w:val="21"/>
          <w:lang w:eastAsia="zh-CN"/>
        </w:rPr>
        <w:t>规定</w:t>
      </w:r>
    </w:p>
    <w:tbl>
      <w:tblPr>
        <w:tblStyle w:val="20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88"/>
        <w:gridCol w:w="900"/>
        <w:gridCol w:w="936"/>
        <w:gridCol w:w="912"/>
        <w:gridCol w:w="1140"/>
        <w:gridCol w:w="696"/>
        <w:gridCol w:w="615"/>
        <w:gridCol w:w="796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项目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9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PH 值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全盐量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 % ）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有机质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（g/kg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9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容重 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（g/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通气孔隙度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（％）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有效土层cm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石砾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9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9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乔木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灌木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粒径 cm</w:t>
            </w:r>
          </w:p>
        </w:tc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含量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地栽</w:t>
            </w: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≤0.20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≥15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8</w:t>
            </w:r>
          </w:p>
        </w:tc>
        <w:tc>
          <w:tcPr>
            <w:tcW w:w="6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≥100</w:t>
            </w:r>
          </w:p>
        </w:tc>
        <w:tc>
          <w:tcPr>
            <w:tcW w:w="6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≥60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苗床</w:t>
            </w: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20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 1.00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20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≤1.5</w:t>
            </w:r>
          </w:p>
        </w:tc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容器</w:t>
            </w:r>
          </w:p>
        </w:tc>
        <w:tc>
          <w:tcPr>
            <w:tcW w:w="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7.0～8.0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≤0.12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50</w:t>
            </w:r>
          </w:p>
        </w:tc>
        <w:tc>
          <w:tcPr>
            <w:tcW w:w="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1.35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≥ 15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≤1</w:t>
            </w:r>
          </w:p>
        </w:tc>
        <w:tc>
          <w:tcPr>
            <w:tcW w:w="6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≤5</w:t>
            </w:r>
          </w:p>
        </w:tc>
      </w:tr>
    </w:tbl>
    <w:p>
      <w:pPr>
        <w:jc w:val="left"/>
        <w:rPr>
          <w:rFonts w:ascii="宋体" w:hAnsi="宋体" w:cs="宋体"/>
          <w:color w:val="auto"/>
          <w:sz w:val="24"/>
        </w:rPr>
      </w:pPr>
    </w:p>
    <w:p>
      <w:pPr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  <w:lang w:eastAsia="zh-CN"/>
        </w:rPr>
        <w:t>土壤养分分级指标</w:t>
      </w:r>
    </w:p>
    <w:p>
      <w:pPr>
        <w:ind w:firstLine="2310" w:firstLineChars="1100"/>
        <w:rPr>
          <w:rFonts w:hint="eastAsia" w:ascii="宋体" w:hAnsi="宋体" w:cs="宋体"/>
          <w:color w:val="auto"/>
          <w:szCs w:val="21"/>
        </w:rPr>
      </w:pPr>
    </w:p>
    <w:p>
      <w:pPr>
        <w:ind w:firstLine="2310" w:firstLineChars="1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Cs w:val="21"/>
        </w:rPr>
        <w:t>表 4.2.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auto"/>
          <w:szCs w:val="21"/>
        </w:rPr>
        <w:t xml:space="preserve"> 土壤养分分级指标                </w:t>
      </w:r>
    </w:p>
    <w:tbl>
      <w:tblPr>
        <w:tblStyle w:val="20"/>
        <w:tblW w:w="8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20"/>
        <w:gridCol w:w="1605"/>
        <w:gridCol w:w="17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级别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全氮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（mg/kg）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碱解氮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（mg/kg）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有效磷 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（mg/kg）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有效钾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一级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&gt; 2000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&gt; 200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&gt;40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&gt;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1500 ～ 2000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150 ～ 200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30 ～ 40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200 ～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三级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1000 ～ 1500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100 ～ 150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20 ～ 30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150 ～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四级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500 ～ 1000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 ～ 100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10 ～ 20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100 ～ 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五级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200 ～ 500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30 ～ 50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 ～ 10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50 ～ 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六级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 200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 30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 5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&lt; 50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spacing w:line="360" w:lineRule="auto"/>
        <w:ind w:firstLine="720" w:firstLineChars="3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花坛、花镜、屋顶种植土壤养分指标应达到表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4.2.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中三级或以上级别；乔木、灌木、草坪种植土养分应达到表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4.2.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中四级或以上级别。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4.2.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</w:rPr>
        <w:t>土壤重金属含量指标应符合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CJ/T 340</w:t>
      </w:r>
      <w:r>
        <w:rPr>
          <w:rFonts w:hint="eastAsia" w:ascii="宋体" w:hAnsi="宋体" w:cs="宋体"/>
          <w:color w:val="auto"/>
          <w:sz w:val="24"/>
        </w:rPr>
        <w:t>的规定。</w:t>
      </w:r>
    </w:p>
    <w:p>
      <w:pPr>
        <w:pStyle w:val="3"/>
        <w:rPr>
          <w:rFonts w:ascii="宋体" w:hAnsi="宋体" w:eastAsia="宋体" w:cs="宋体"/>
          <w:color w:val="auto"/>
          <w:sz w:val="24"/>
        </w:rPr>
      </w:pPr>
      <w:bookmarkStart w:id="10" w:name="_Toc25145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5   采样</w:t>
      </w:r>
      <w:bookmarkEnd w:id="10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5.1    采样方法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5.1.1  样点选择应根据规划和种植土的面积，选择有代表性的样点。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5.1.2  采样方法应采用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“S”</w:t>
      </w:r>
      <w:r>
        <w:rPr>
          <w:rFonts w:hint="eastAsia" w:ascii="宋体" w:hAnsi="宋体" w:cs="宋体"/>
          <w:color w:val="auto"/>
          <w:sz w:val="24"/>
        </w:rPr>
        <w:t>形采样。将所采土样进行多点混合，然后用四分法，对角线分取，每个混合土样不少于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kg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5.2    采样密度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5.2.1  原土采样应符合下列要求： 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a) </w:t>
      </w:r>
      <w:r>
        <w:rPr>
          <w:rFonts w:hint="eastAsia" w:ascii="宋体" w:hAnsi="宋体" w:cs="宋体"/>
          <w:color w:val="auto"/>
          <w:sz w:val="24"/>
        </w:rPr>
        <w:t>面积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&lt;10000㎡</w:t>
      </w:r>
      <w:r>
        <w:rPr>
          <w:rFonts w:hint="eastAsia" w:ascii="宋体" w:hAnsi="宋体" w:cs="宋体"/>
          <w:color w:val="auto"/>
          <w:sz w:val="24"/>
        </w:rPr>
        <w:t>时，每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2 000㎡</w:t>
      </w:r>
      <w:r>
        <w:rPr>
          <w:rFonts w:hint="eastAsia" w:ascii="宋体" w:hAnsi="宋体" w:cs="宋体"/>
          <w:color w:val="auto"/>
          <w:sz w:val="24"/>
        </w:rPr>
        <w:t>作为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个采样单元，每个采样单元采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个混合样；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b) </w:t>
      </w:r>
      <w:r>
        <w:rPr>
          <w:rFonts w:hint="eastAsia" w:ascii="宋体" w:hAnsi="宋体" w:cs="宋体"/>
          <w:color w:val="auto"/>
          <w:sz w:val="24"/>
        </w:rPr>
        <w:t>面积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10000㎡～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lang w:val="en-US" w:eastAsia="zh-CN"/>
        </w:rPr>
        <w:t>50000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㎡</w:t>
      </w:r>
      <w:r>
        <w:rPr>
          <w:rFonts w:hint="eastAsia" w:ascii="宋体" w:hAnsi="宋体" w:cs="宋体"/>
          <w:color w:val="auto"/>
          <w:sz w:val="24"/>
        </w:rPr>
        <w:t>时，每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3000㎡</w:t>
      </w:r>
      <w:r>
        <w:rPr>
          <w:rFonts w:hint="eastAsia" w:ascii="宋体" w:hAnsi="宋体" w:cs="宋体"/>
          <w:color w:val="auto"/>
          <w:sz w:val="24"/>
        </w:rPr>
        <w:t>作为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个采样单元，至少采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3～8</w:t>
      </w:r>
      <w:r>
        <w:rPr>
          <w:rFonts w:hint="eastAsia" w:ascii="宋体" w:hAnsi="宋体" w:cs="宋体"/>
          <w:color w:val="auto"/>
          <w:sz w:val="24"/>
        </w:rPr>
        <w:t>个混合样；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c) </w:t>
      </w:r>
      <w:r>
        <w:rPr>
          <w:rFonts w:hint="eastAsia" w:ascii="宋体" w:hAnsi="宋体" w:cs="宋体"/>
          <w:color w:val="auto"/>
          <w:sz w:val="24"/>
        </w:rPr>
        <w:t>面积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5000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㎡～100000㎡</w:t>
      </w:r>
      <w:r>
        <w:rPr>
          <w:rFonts w:hint="eastAsia" w:ascii="宋体" w:hAnsi="宋体" w:cs="宋体"/>
          <w:color w:val="auto"/>
          <w:sz w:val="24"/>
        </w:rPr>
        <w:t>时，每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5000㎡</w:t>
      </w:r>
      <w:r>
        <w:rPr>
          <w:rFonts w:hint="eastAsia" w:ascii="宋体" w:hAnsi="宋体" w:cs="宋体"/>
          <w:color w:val="auto"/>
          <w:sz w:val="24"/>
        </w:rPr>
        <w:t>作为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个采样单元，至少采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9～12</w:t>
      </w:r>
      <w:r>
        <w:rPr>
          <w:rFonts w:hint="eastAsia" w:ascii="宋体" w:hAnsi="宋体" w:cs="宋体"/>
          <w:color w:val="auto"/>
          <w:sz w:val="24"/>
        </w:rPr>
        <w:t>个混合样；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d) </w:t>
      </w:r>
      <w:r>
        <w:rPr>
          <w:rFonts w:hint="eastAsia" w:ascii="宋体" w:hAnsi="宋体" w:cs="宋体"/>
          <w:color w:val="auto"/>
          <w:sz w:val="24"/>
        </w:rPr>
        <w:t>面积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&gt;100000㎡</w:t>
      </w:r>
      <w:r>
        <w:rPr>
          <w:rFonts w:hint="eastAsia" w:ascii="宋体" w:hAnsi="宋体" w:cs="宋体"/>
          <w:color w:val="auto"/>
          <w:sz w:val="24"/>
        </w:rPr>
        <w:t>时，每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10000㎡</w:t>
      </w:r>
      <w:r>
        <w:rPr>
          <w:rFonts w:hint="eastAsia" w:ascii="宋体" w:hAnsi="宋体" w:cs="宋体"/>
          <w:color w:val="auto"/>
          <w:sz w:val="24"/>
        </w:rPr>
        <w:t>作为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</w:rPr>
        <w:t>个采样单元，至少采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</w:rPr>
        <w:t>10～15</w:t>
      </w:r>
      <w:r>
        <w:rPr>
          <w:rFonts w:hint="eastAsia" w:ascii="宋体" w:hAnsi="宋体" w:cs="宋体"/>
          <w:color w:val="auto"/>
          <w:sz w:val="24"/>
        </w:rPr>
        <w:t>个混合样；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5.2.2  客土采样应符合下列要求：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根据客土不同的来源进行采样，以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50㎡～500㎡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做为一个采样单元</w:t>
      </w:r>
      <w:r>
        <w:rPr>
          <w:rFonts w:hint="eastAsia" w:ascii="宋体" w:hAnsi="宋体" w:cs="宋体"/>
          <w:color w:val="auto"/>
          <w:sz w:val="24"/>
        </w:rPr>
        <w:t>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至少采3个样点混合成一个混合样，采样单元</w:t>
      </w:r>
      <w:r>
        <w:rPr>
          <w:rFonts w:hint="eastAsia" w:ascii="宋体" w:hAnsi="宋体" w:cs="宋体"/>
          <w:color w:val="auto"/>
          <w:sz w:val="24"/>
        </w:rPr>
        <w:t>的数量根据客土量的多少确定。</w:t>
      </w:r>
    </w:p>
    <w:p>
      <w:pPr>
        <w:spacing w:line="360" w:lineRule="auto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5.2.3  不同绿化形式采样应符合下列要求：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 w:val="0"/>
          <w:bCs w:val="0"/>
          <w:color w:val="auto"/>
          <w:sz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 xml:space="preserve">a) 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生产绿地，草坪等采样密度同原土采样方法。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 w:cs="宋体"/>
          <w:b w:val="0"/>
          <w:bCs w:val="0"/>
          <w:color w:val="auto"/>
          <w:sz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 xml:space="preserve">b) 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花坛、花境以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</w:rPr>
        <w:t>50㎡～100㎡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 xml:space="preserve"> 采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</w:rPr>
        <w:t>5～10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个土样，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5～10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个土样为一个混合样品。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 w:cs="宋体"/>
          <w:b w:val="0"/>
          <w:bCs w:val="0"/>
          <w:color w:val="auto"/>
          <w:sz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 xml:space="preserve">c) 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树</w:t>
      </w:r>
      <w:r>
        <w:rPr>
          <w:rFonts w:hint="eastAsia" w:ascii="宋体" w:hAnsi="宋体" w:cs="宋体"/>
          <w:b w:val="0"/>
          <w:bCs w:val="0"/>
          <w:color w:val="auto"/>
          <w:sz w:val="24"/>
          <w:lang w:eastAsia="zh-CN"/>
        </w:rPr>
        <w:t>池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每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棵树</w:t>
      </w:r>
      <w:r>
        <w:rPr>
          <w:rFonts w:hint="eastAsia" w:ascii="宋体" w:hAnsi="宋体" w:cs="宋体"/>
          <w:b w:val="0"/>
          <w:bCs w:val="0"/>
          <w:color w:val="auto"/>
          <w:sz w:val="24"/>
          <w:lang w:val="en-US" w:eastAsia="zh-CN"/>
        </w:rPr>
        <w:t>池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至少分两层各采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个样，然后混合成一个混合样品，总采样区域不满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</w:t>
      </w:r>
      <w:r>
        <w:rPr>
          <w:rFonts w:hint="eastAsia" w:ascii="宋体" w:hAnsi="宋体" w:cs="宋体"/>
          <w:b w:val="0"/>
          <w:bCs w:val="0"/>
          <w:color w:val="auto"/>
          <w:sz w:val="24"/>
          <w:lang w:eastAsia="zh-CN"/>
        </w:rPr>
        <w:t>个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按</w:t>
      </w:r>
      <w:r>
        <w:rPr>
          <w:rFonts w:hint="eastAsia" w:ascii="Times New Roman" w:hAnsi="Times New Roman" w:cs="Times New Roman"/>
          <w:b w:val="0"/>
          <w:bCs w:val="0"/>
          <w:color w:val="auto"/>
          <w:sz w:val="24"/>
        </w:rPr>
        <w:t>50</w:t>
      </w:r>
      <w:r>
        <w:rPr>
          <w:rFonts w:hint="eastAsia" w:ascii="宋体" w:hAnsi="宋体" w:cs="宋体"/>
          <w:b w:val="0"/>
          <w:bCs w:val="0"/>
          <w:color w:val="auto"/>
          <w:sz w:val="24"/>
          <w:lang w:eastAsia="zh-CN"/>
        </w:rPr>
        <w:t>个树池</w:t>
      </w:r>
      <w:r>
        <w:rPr>
          <w:rFonts w:hint="eastAsia" w:ascii="宋体" w:hAnsi="宋体" w:cs="宋体"/>
          <w:b w:val="0"/>
          <w:bCs w:val="0"/>
          <w:color w:val="auto"/>
          <w:sz w:val="24"/>
        </w:rPr>
        <w:t>计。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d) </w:t>
      </w:r>
      <w:r>
        <w:rPr>
          <w:rFonts w:hint="eastAsia" w:ascii="宋体" w:hAnsi="宋体" w:cs="宋体"/>
          <w:color w:val="auto"/>
          <w:sz w:val="24"/>
        </w:rPr>
        <w:t>若有特殊要求，可增加采样密度。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5.3    采样深度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根据实际检测的需求可采用分层采样。花坛、花境、草坪采</w:t>
      </w:r>
      <w:r>
        <w:rPr>
          <w:rFonts w:hint="default" w:ascii="Times New Roman" w:hAnsi="Times New Roman" w:cs="Times New Roman"/>
          <w:color w:val="auto"/>
          <w:sz w:val="24"/>
        </w:rPr>
        <w:t>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cm～30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>；小乔木和灌木采</w:t>
      </w:r>
      <w:r>
        <w:rPr>
          <w:rFonts w:hint="default" w:ascii="Times New Roman" w:hAnsi="Times New Roman" w:cs="Times New Roman"/>
          <w:color w:val="auto"/>
          <w:sz w:val="24"/>
        </w:rPr>
        <w:t xml:space="preserve"> 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cm～30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cm、30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cm～60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>两层；高大乔木</w:t>
      </w:r>
      <w:r>
        <w:rPr>
          <w:rFonts w:hint="eastAsia" w:ascii="宋体" w:hAnsi="宋体" w:cs="宋体"/>
          <w:color w:val="auto"/>
          <w:sz w:val="24"/>
          <w:lang w:eastAsia="zh-CN"/>
        </w:rPr>
        <w:t>采</w:t>
      </w:r>
      <w:r>
        <w:rPr>
          <w:rFonts w:hint="eastAsia" w:ascii="宋体" w:hAnsi="宋体" w:cs="宋体"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cm～30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cm、30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cm～90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 xml:space="preserve">两层或  </w:t>
      </w:r>
      <w:r>
        <w:rPr>
          <w:rFonts w:hint="eastAsia" w:ascii="Times New Roman" w:hAnsi="Times New Roman" w:cs="Times New Roman"/>
          <w:color w:val="auto"/>
          <w:sz w:val="24"/>
        </w:rPr>
        <w:t>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cm～30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cm、30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cm～60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>和</w:t>
      </w:r>
      <w:r>
        <w:rPr>
          <w:rFonts w:hint="eastAsia" w:ascii="Times New Roman" w:hAnsi="Times New Roman" w:cs="Times New Roman"/>
          <w:color w:val="auto"/>
          <w:sz w:val="24"/>
        </w:rPr>
        <w:t>60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cm～90</w:t>
      </w: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4"/>
        </w:rPr>
        <w:t>cm</w:t>
      </w:r>
      <w:r>
        <w:rPr>
          <w:rFonts w:hint="eastAsia" w:ascii="宋体" w:hAnsi="宋体" w:cs="宋体"/>
          <w:color w:val="auto"/>
          <w:sz w:val="24"/>
        </w:rPr>
        <w:t>三层；必要时根据需要采集更深层次土壤。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5.4    采样时间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5.4.1  园林绿化工程，应在种植前10天或土壤改良后2周内进行。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5.4.2  绿地养护管理，应</w:t>
      </w:r>
      <w:r>
        <w:rPr>
          <w:rFonts w:hint="eastAsia" w:ascii="宋体" w:hAnsi="宋体" w:cs="宋体"/>
          <w:color w:val="auto"/>
          <w:sz w:val="24"/>
          <w:lang w:eastAsia="zh-CN"/>
        </w:rPr>
        <w:t>在施肥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2周后进行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5.4.3  采样时应避开暴雨后或炽热阳光，在土壤干湿度</w:t>
      </w:r>
      <w:r>
        <w:rPr>
          <w:rFonts w:hint="eastAsia" w:ascii="宋体" w:hAnsi="宋体" w:cs="宋体"/>
          <w:color w:val="auto"/>
          <w:sz w:val="24"/>
          <w:lang w:eastAsia="zh-CN"/>
        </w:rPr>
        <w:t>正常</w:t>
      </w:r>
      <w:r>
        <w:rPr>
          <w:rFonts w:hint="eastAsia" w:ascii="宋体" w:hAnsi="宋体" w:cs="宋体"/>
          <w:color w:val="auto"/>
          <w:sz w:val="24"/>
        </w:rPr>
        <w:t>时进行。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>5.5    采样步骤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</w:rPr>
        <w:t xml:space="preserve">5.5.1  准备标签两张，标签内容包括采样日期、地点、深度、类别。一张贴在袋外，另一张放入采样袋内。  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5.5.2  除去表面浮土，垂直向下按要求分层取样。</w:t>
      </w:r>
    </w:p>
    <w:p>
      <w:pPr>
        <w:pStyle w:val="3"/>
        <w:rPr>
          <w:rFonts w:ascii="宋体" w:hAnsi="宋体" w:eastAsia="宋体" w:cs="宋体"/>
          <w:color w:val="auto"/>
          <w:kern w:val="44"/>
          <w:sz w:val="30"/>
          <w:szCs w:val="30"/>
        </w:rPr>
      </w:pPr>
      <w:bookmarkStart w:id="11" w:name="_Toc23336"/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6   检测方法</w:t>
      </w:r>
      <w:bookmarkEnd w:id="11"/>
    </w:p>
    <w:p>
      <w:pPr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6.1种植土壤的检测方法应符合表6.1的规定</w:t>
      </w:r>
    </w:p>
    <w:p>
      <w:pPr>
        <w:jc w:val="center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表6.1  检测方法</w:t>
      </w:r>
    </w:p>
    <w:tbl>
      <w:tblPr>
        <w:tblStyle w:val="20"/>
        <w:tblW w:w="8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620"/>
        <w:gridCol w:w="349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测定方法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方法来源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感观质量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目测法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pH 值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电位法(水浸提)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全盐量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质量法/电导率法(水土质量比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5:1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有机质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重铬酸钾氧化-外加热法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通气空隙度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环刀法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石砾含量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筛分法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CJ/T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水解性氮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碱解一扩散法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有效磷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钼锑抗比色法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123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速效钾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火焰光度法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123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质地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见附录A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LY/T 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土壤容重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见附录A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有效土层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米尺测定（读数精确到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1.0 cm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CJ/T 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总镉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 xml:space="preserve">KI-MIBK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萃取原子吸收分光光度法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17140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总汞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原子荧光法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22105.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总铅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石墨炉原子吸收分光光度法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17141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总铬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火焰原子吸收分光光度法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GB/T 1713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总砷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原子荧光法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22105.2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总镍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火焰原子吸收分光光度法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17139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总锌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火焰原子吸收分光光度法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17138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总铜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火焰原子吸收分光光度法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GB/T 17138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  <w:sz w:val="24"/>
        </w:rPr>
      </w:pP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6.2 评定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6.2.1 土壤</w:t>
      </w:r>
      <w:r>
        <w:rPr>
          <w:rFonts w:hint="default" w:ascii="Times New Roman" w:hAnsi="Times New Roman" w:cs="Times New Roman"/>
          <w:color w:val="auto"/>
          <w:sz w:val="24"/>
        </w:rPr>
        <w:t>pH</w:t>
      </w:r>
      <w:r>
        <w:rPr>
          <w:rFonts w:hint="eastAsia" w:ascii="宋体" w:hAnsi="宋体" w:cs="宋体"/>
          <w:color w:val="auto"/>
          <w:sz w:val="24"/>
        </w:rPr>
        <w:t>值、全盐量、有机质、容重、水解性氮、速效钾、有效磷，有一项不符合本标准合格要求时，则该土壤视为不合格。</w:t>
      </w:r>
    </w:p>
    <w:p>
      <w:pPr>
        <w:spacing w:line="360" w:lineRule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6.2.2 建设公园、学校、居住区等工程，其绿地建设工程应增加土壤重金属测定。</w:t>
      </w:r>
    </w:p>
    <w:p>
      <w:pPr>
        <w:pStyle w:val="3"/>
        <w:rPr>
          <w:rFonts w:hint="eastAsia" w:ascii="宋体" w:hAnsi="宋体" w:eastAsia="宋体" w:cs="宋体"/>
          <w:color w:val="auto"/>
          <w:kern w:val="44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7  河南省常用绿</w:t>
      </w:r>
      <w:r>
        <w:rPr>
          <w:rFonts w:hint="eastAsia" w:ascii="宋体" w:hAnsi="宋体" w:eastAsia="宋体" w:cs="宋体"/>
          <w:color w:val="auto"/>
          <w:kern w:val="44"/>
          <w:sz w:val="30"/>
          <w:szCs w:val="30"/>
          <w:lang w:val="en-US" w:eastAsia="zh-CN"/>
        </w:rPr>
        <w:t>化</w:t>
      </w:r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>植物适生土壤环境</w:t>
      </w:r>
    </w:p>
    <w:p>
      <w:pPr>
        <w:pStyle w:val="3"/>
        <w:rPr>
          <w:rFonts w:hint="eastAsia" w:ascii="宋体" w:hAnsi="宋体" w:eastAsia="宋体" w:cs="宋体"/>
          <w:color w:val="auto"/>
          <w:kern w:val="44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kern w:val="44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</w:rPr>
        <w:t>河南省常用绿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lang w:val="en-US" w:eastAsia="zh-CN"/>
        </w:rPr>
        <w:t>化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</w:rPr>
        <w:t>植物适生土壤环境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lang w:eastAsia="zh-CN"/>
        </w:rPr>
        <w:t>（见附录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lang w:eastAsia="zh-CN"/>
        </w:rPr>
        <w:t>）</w:t>
      </w:r>
    </w:p>
    <w:p>
      <w:pPr>
        <w:rPr>
          <w:color w:val="auto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p>
      <w:pPr>
        <w:rPr>
          <w:rFonts w:ascii="宋体" w:hAns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br w:type="page"/>
      </w:r>
    </w:p>
    <w:p>
      <w:pPr>
        <w:spacing w:line="360" w:lineRule="auto"/>
        <w:ind w:firstLine="602" w:firstLineChars="200"/>
        <w:jc w:val="center"/>
        <w:outlineLvl w:val="0"/>
        <w:rPr>
          <w:rFonts w:ascii="宋体" w:hAnsi="宋体" w:cs="宋体"/>
          <w:b/>
          <w:color w:val="auto"/>
          <w:kern w:val="44"/>
          <w:sz w:val="30"/>
          <w:szCs w:val="30"/>
        </w:rPr>
      </w:pPr>
      <w:bookmarkStart w:id="12" w:name="_Toc23094"/>
      <w:r>
        <w:rPr>
          <w:rFonts w:hint="eastAsia" w:ascii="宋体" w:hAnsi="宋体" w:cs="宋体"/>
          <w:b/>
          <w:color w:val="auto"/>
          <w:kern w:val="44"/>
          <w:sz w:val="30"/>
          <w:szCs w:val="30"/>
        </w:rPr>
        <w:t>附　录　A</w:t>
      </w:r>
      <w:bookmarkEnd w:id="12"/>
    </w:p>
    <w:p>
      <w:pPr>
        <w:spacing w:line="360" w:lineRule="auto"/>
        <w:ind w:firstLine="560" w:firstLineChars="200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（规范性附录）</w:t>
      </w:r>
    </w:p>
    <w:p>
      <w:pPr>
        <w:spacing w:line="360" w:lineRule="auto"/>
        <w:jc w:val="center"/>
        <w:outlineLvl w:val="0"/>
        <w:rPr>
          <w:rFonts w:ascii="宋体" w:hAnsi="宋体" w:cs="宋体"/>
          <w:color w:val="auto"/>
          <w:sz w:val="24"/>
        </w:rPr>
      </w:pPr>
      <w:bookmarkStart w:id="13" w:name="_Toc18985"/>
      <w:bookmarkStart w:id="14" w:name="_Toc31885"/>
      <w:bookmarkStart w:id="15" w:name="_Toc16679"/>
      <w:r>
        <w:rPr>
          <w:rFonts w:hint="eastAsia" w:ascii="宋体" w:hAnsi="宋体" w:cs="宋体"/>
          <w:color w:val="auto"/>
          <w:sz w:val="24"/>
        </w:rPr>
        <w:t>土壤理化指标检测方法</w:t>
      </w:r>
      <w:bookmarkEnd w:id="13"/>
      <w:bookmarkEnd w:id="14"/>
      <w:bookmarkEnd w:id="15"/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　土壤容重测定（环刀法）</w:t>
      </w:r>
    </w:p>
    <w:p>
      <w:pPr>
        <w:spacing w:line="360" w:lineRule="auto"/>
        <w:ind w:firstLine="480" w:firstLineChars="200"/>
        <w:outlineLvl w:val="0"/>
        <w:rPr>
          <w:rFonts w:ascii="宋体" w:hAnsi="宋体" w:cs="宋体"/>
          <w:color w:val="auto"/>
          <w:sz w:val="24"/>
        </w:rPr>
      </w:pPr>
      <w:bookmarkStart w:id="16" w:name="_Toc28745"/>
      <w:bookmarkStart w:id="17" w:name="_Toc15096"/>
      <w:bookmarkStart w:id="18" w:name="_Toc13582"/>
      <w:r>
        <w:rPr>
          <w:rFonts w:hint="eastAsia" w:ascii="宋体" w:hAnsi="宋体" w:cs="宋体"/>
          <w:color w:val="auto"/>
          <w:sz w:val="24"/>
        </w:rPr>
        <w:t>A.1.1　测定原理</w:t>
      </w:r>
      <w:bookmarkEnd w:id="16"/>
      <w:bookmarkEnd w:id="17"/>
      <w:bookmarkEnd w:id="18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利用一定容积的环刀（一般为</w:t>
      </w:r>
      <w:r>
        <w:rPr>
          <w:rFonts w:hint="default" w:ascii="Times New Roman" w:hAnsi="Times New Roman" w:cs="Times New Roman"/>
          <w:color w:val="auto"/>
          <w:sz w:val="24"/>
        </w:rPr>
        <w:t>100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㎝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3</w:t>
      </w:r>
      <w:r>
        <w:rPr>
          <w:rFonts w:hint="eastAsia" w:ascii="宋体" w:hAnsi="宋体" w:cs="宋体"/>
          <w:color w:val="auto"/>
          <w:sz w:val="24"/>
        </w:rPr>
        <w:t>），切割自然状态下未搅动的土壤，使土体充满环刀，</w:t>
      </w:r>
      <w:r>
        <w:rPr>
          <w:rFonts w:ascii="ˎ̥" w:hAnsi="ˎ̥" w:cs="宋体"/>
          <w:color w:val="auto"/>
          <w:kern w:val="0"/>
          <w:sz w:val="24"/>
          <w:szCs w:val="24"/>
        </w:rPr>
        <w:t>烘干后称量计算单位容积的烘干土重量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　测定方法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A.1.2.1　用铁铲将选择好的面铲平，将环刀刀口向下垂直压入土中，直至环刀筒中充满土样为止；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A.1.2.2　将环刀帽套在露土上面的一端锤子平衡慢慢地敲打环刀托，用铁铲取出装土体的环刀；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A.1.2.3　用削土刀分别将环刀两端土削平，盖上盖子放入采样袋内；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A.1.2.4　将环刀带至实验室，迅速放入烘箱在</w:t>
      </w:r>
      <w:r>
        <w:rPr>
          <w:rFonts w:hint="default" w:ascii="Times New Roman" w:hAnsi="Times New Roman" w:cs="Times New Roman"/>
          <w:color w:val="auto"/>
          <w:sz w:val="24"/>
        </w:rPr>
        <w:t>105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℃～110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℃</w:t>
      </w:r>
      <w:r>
        <w:rPr>
          <w:rFonts w:hint="eastAsia" w:ascii="宋体" w:hAnsi="宋体" w:cs="宋体"/>
          <w:color w:val="auto"/>
          <w:sz w:val="24"/>
        </w:rPr>
        <w:t>烘至恒重；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A.1.2.5　土壤容重按如下公式计算：</w:t>
      </w:r>
    </w:p>
    <w:p>
      <w:pPr>
        <w:spacing w:line="360" w:lineRule="auto"/>
        <w:ind w:firstLine="480" w:firstLineChars="200"/>
        <w:jc w:val="center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cs="Times New Roman"/>
          <w:color w:val="auto"/>
          <w:sz w:val="24"/>
        </w:rPr>
        <w:t>dv=(m2-m1)/Vs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式中：dv—土壤容重   </w:t>
      </w:r>
      <w:r>
        <w:rPr>
          <w:rFonts w:hint="default" w:ascii="Times New Roman" w:hAnsi="Times New Roman" w:cs="Times New Roman"/>
          <w:color w:val="auto"/>
          <w:sz w:val="24"/>
        </w:rPr>
        <w:t>（g/㎝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3</w:t>
      </w:r>
      <w:r>
        <w:rPr>
          <w:rFonts w:hint="default" w:ascii="Times New Roman" w:hAnsi="Times New Roman" w:cs="Times New Roman"/>
          <w:color w:val="auto"/>
          <w:sz w:val="24"/>
        </w:rPr>
        <w:t>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m2—环刀和烘干土的总质量  </w:t>
      </w:r>
      <w:r>
        <w:rPr>
          <w:rFonts w:hint="eastAsia" w:ascii="Times New Roman" w:hAnsi="Times New Roman" w:cs="Times New Roman"/>
          <w:color w:val="auto"/>
          <w:sz w:val="24"/>
        </w:rPr>
        <w:t>（g）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m1—环刀质量   </w:t>
      </w:r>
      <w:r>
        <w:rPr>
          <w:rFonts w:hint="default" w:ascii="Times New Roman" w:hAnsi="Times New Roman" w:cs="Times New Roman"/>
          <w:color w:val="auto"/>
          <w:sz w:val="24"/>
        </w:rPr>
        <w:t>（g）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Vs—环刀容积   </w:t>
      </w:r>
      <w:r>
        <w:rPr>
          <w:rFonts w:hint="default" w:ascii="Times New Roman" w:hAnsi="Times New Roman" w:cs="Times New Roman"/>
          <w:color w:val="auto"/>
          <w:sz w:val="24"/>
        </w:rPr>
        <w:t>（㎝</w:t>
      </w:r>
      <w:r>
        <w:rPr>
          <w:rFonts w:hint="default" w:ascii="Times New Roman" w:hAnsi="Times New Roman" w:cs="Times New Roman"/>
          <w:color w:val="auto"/>
          <w:sz w:val="24"/>
          <w:vertAlign w:val="superscript"/>
        </w:rPr>
        <w:t>3</w:t>
      </w:r>
      <w:r>
        <w:rPr>
          <w:rFonts w:hint="default" w:ascii="Times New Roman" w:hAnsi="Times New Roman" w:cs="Times New Roman"/>
          <w:color w:val="auto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A.2　土壤质地测定（指测法</w:t>
      </w:r>
      <w:r>
        <w:rPr>
          <w:rFonts w:hint="eastAsia" w:ascii="宋体" w:hAnsi="宋体" w:cs="宋体"/>
          <w:b/>
          <w:bCs/>
          <w:color w:val="auto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A.2.1　测定原理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试样在潮湿状态下揉成细条，根据细条外观开裂状态确定出土壤质地类型。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A.2.2　测定方法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取少量试样，拣掉样品中的植物根系和结核体（石块、石灰结核）后，加水充分湿润，放在手掌心用手指来回揉搓，搓成直径</w:t>
      </w:r>
      <w:r>
        <w:rPr>
          <w:rFonts w:hint="default" w:ascii="Times New Roman" w:hAnsi="Times New Roman" w:cs="Times New Roman"/>
          <w:color w:val="auto"/>
          <w:sz w:val="24"/>
        </w:rPr>
        <w:t>3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</w:rPr>
        <w:t>mm</w:t>
      </w:r>
      <w:r>
        <w:rPr>
          <w:rFonts w:hint="eastAsia" w:ascii="宋体" w:hAnsi="宋体" w:cs="宋体"/>
          <w:color w:val="auto"/>
          <w:sz w:val="24"/>
        </w:rPr>
        <w:t>左右的细条并做成圆环状，根据表A.1中土壤质地的相关指标，确定土壤质地类型。</w:t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>表 A.1  土壤质地感官指标</w:t>
      </w:r>
    </w:p>
    <w:tbl>
      <w:tblPr>
        <w:tblStyle w:val="20"/>
        <w:tblpPr w:leftFromText="180" w:rightFromText="180" w:vertAnchor="text" w:horzAnchor="page" w:tblpX="1672" w:tblpY="444"/>
        <w:tblOverlap w:val="never"/>
        <w:tblW w:w="8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841"/>
        <w:gridCol w:w="1470"/>
        <w:gridCol w:w="1540"/>
        <w:gridCol w:w="116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质地类型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在手掌中研磨的感觉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在放大镜或肉眼中观察的形状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干燥时的状态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潮湿时的状态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揉成细条时的状态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砂土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有砂粒感觉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几乎完全由砂粒组成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土粒分散，不成团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流砂不成团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不能揉成细条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砂壤土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不均质，主要是砂的感觉，也有细土粒的感觉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主要是砂粒，也有较细的土粒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土块用手指轻压后，易碎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无可塑性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揉成细条时裂成若干小段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轻壤土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不均质，有相当量的粘质粒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主要是砂粒，有20%～30%的粘土粒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用手指破坏需要较大的力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可塑性物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揉成细条时易裂成小瓣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中壤土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感到砂质和粘土，土粒大致相同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还能见到砂粒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用手指破坏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可塑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能揉成完整的细条，将其弯成圆圈时裂成小瓣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重壤土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感到有少量砂粒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主要有粉砂和粘粒，砂粒几乎没有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不可能用手指压碎干土块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可塑性良好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易揉成细条但在卷成圆环时有裂痕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粘土</w:t>
            </w:r>
          </w:p>
        </w:tc>
        <w:tc>
          <w:tcPr>
            <w:tcW w:w="1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很细的均质土，难于磨成粉末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均质的细粉末，没有砂粒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形成坚硬的土块，用锤击仍不能使其粉碎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可塑性良好，呈粘糊体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widowControl/>
              <w:spacing w:beforeAutospacing="1" w:afterAutospacing="1"/>
              <w:jc w:val="left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揉成的细条易卷成圆环，不易发生裂痕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</w:p>
    <w:p>
      <w:pPr>
        <w:spacing w:line="360" w:lineRule="auto"/>
        <w:jc w:val="center"/>
        <w:outlineLvl w:val="0"/>
        <w:rPr>
          <w:rFonts w:ascii="宋体" w:hAnsi="宋体" w:cs="宋体"/>
          <w:b/>
          <w:color w:val="auto"/>
          <w:kern w:val="44"/>
          <w:sz w:val="30"/>
          <w:szCs w:val="30"/>
        </w:rPr>
      </w:pPr>
      <w:bookmarkStart w:id="19" w:name="_Toc28878"/>
      <w:r>
        <w:rPr>
          <w:rFonts w:hint="eastAsia" w:ascii="宋体" w:hAnsi="宋体" w:cs="宋体"/>
          <w:b/>
          <w:color w:val="auto"/>
          <w:kern w:val="44"/>
          <w:sz w:val="30"/>
          <w:szCs w:val="30"/>
        </w:rPr>
        <w:t>附　录　B</w:t>
      </w:r>
      <w:bookmarkEnd w:id="19"/>
    </w:p>
    <w:p>
      <w:pPr>
        <w:spacing w:line="360" w:lineRule="auto"/>
        <w:ind w:firstLine="3360" w:firstLineChars="1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（资料性附录）</w:t>
      </w:r>
    </w:p>
    <w:p>
      <w:pPr>
        <w:spacing w:line="360" w:lineRule="auto"/>
        <w:ind w:firstLine="480" w:firstLineChars="200"/>
        <w:jc w:val="center"/>
        <w:outlineLvl w:val="0"/>
        <w:rPr>
          <w:rFonts w:ascii="宋体" w:hAnsi="宋体" w:cs="宋体"/>
          <w:color w:val="auto"/>
          <w:sz w:val="24"/>
        </w:rPr>
      </w:pPr>
      <w:bookmarkStart w:id="20" w:name="_Toc6110"/>
      <w:r>
        <w:rPr>
          <w:rFonts w:hint="eastAsia" w:ascii="宋体" w:hAnsi="宋体" w:cs="宋体"/>
          <w:color w:val="auto"/>
          <w:sz w:val="24"/>
        </w:rPr>
        <w:t>表B.1 河南省常用绿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化</w:t>
      </w:r>
      <w:r>
        <w:rPr>
          <w:rFonts w:hint="eastAsia" w:ascii="宋体" w:hAnsi="宋体" w:cs="宋体"/>
          <w:color w:val="auto"/>
          <w:sz w:val="24"/>
        </w:rPr>
        <w:t>植物适生土壤环境</w:t>
      </w:r>
      <w:bookmarkEnd w:id="20"/>
    </w:p>
    <w:tbl>
      <w:tblPr>
        <w:tblStyle w:val="11"/>
        <w:tblW w:w="9003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3580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植物名称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Cs w:val="21"/>
              </w:rPr>
              <w:t>学名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适宜土壤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针叶树类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银杏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 xml:space="preserve">Ginkgo </w:t>
            </w:r>
            <w:r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  <w:t>biloba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稍耐旱，不适于碴砾性土壤。在酸性土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（pH6.0）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、石灰性土壤（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pH8.0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）中均可生长良好。在土层深厚、湿润肥沃、排水良好之地生长最佳。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华山松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Pinus armandii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以深厚、肥沃、湿润、排水良好的中性或偏酸性土壤最适,不耐盐碱土。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白皮松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Pinus bungeana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对土壤要求不严，喜钙质土，深根性，较耐干旱。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油松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Pinus tabuliformis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弱酸性中性及弱石灰性土壤皆可。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黑松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(日本黑松)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Pinus thunbergii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对土壤要求不严，在深厚肥沃的弱酸性、中性或偏碱性土壤上均能良好生长。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雪松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Cedrus deodara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喜土层深厚，排水良好的土壤，在弱酸性、中性、弱石灰性土壤宜可。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金钱松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Pseudolarix amabilis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以深厚、肥沃、微酸性土壤生长良好。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水杉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Metasequoia glyptostroboides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宜土层深厚、肥沃及排水良好的土壤，耐水湿，耐轻盐碱。土壤干燥或排水不良的土壤生长较差。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金叶水杉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Metasequoia glyptostroboides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'Gold Rush'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土层深厚、湿润、肥沃、排水良好的沙壤土或黄褐土中生长良好，轻盐碱地也可以生长。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云杉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Picea asperata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浅根性,要求排水良好,微酸性土壤。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圆柏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Sabina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在酸性、中性、弱石灰性土壤中均能生长，但以微酸性或中性的深厚土壤中生长最好。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龙柏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Juniperus chinensis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var.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 kaizuca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对土壤要求不严，对干旱、潮湿土壤均有一定的抗性。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侧柏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Platycladus orientalis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喜钙质土，中性土上生长好。在含盐0.2%的土壤上亦能生存。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杜松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Juniperus rigida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在疏松、排水良好的中性和石灰性土壤上生长良好。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阔叶乔木类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白玉兰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(玉兰)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Magnolia denudata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喜排水良好的中性砂壤土，pH值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5～8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之土壤均能生长。肉质根，怕积水。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荷花玉兰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(广玉兰)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Magnolia grandiflora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喜深厚肥沃微酸性土壤。肉质根，怕积水。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紫玉兰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Magnolia liliflora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适宜在排水良好的酸性或中性砂壤土中，不耐碱性土壤，要求土壤pH值在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5.5～6.5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，喜肥。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杂交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鹅掌楸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Liriodendron tulipifera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喜深厚肥沃、适湿而排水良好的酸性或微酸性土壤（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pH4.5-6.5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香樟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Cinnamomum camphora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以深厚、肥沃、湿润的微酸性黏质土，较耐水湿，不耐干旱、瘠薄和盐碱土。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法桐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（二球悬铃木）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Platanus acerifolia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在深厚肥沃的土壤中生长迅速。对土壤要求不严，轻度盐化土壤亦可正常生长。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枫香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Liquidambar formosana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喜生于湿润肥沃的微酸性土壤。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蚊母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Distylium racemosum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喜排水良好、湿润、肥沃土壤。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杜仲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Eucommia ulmoides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在深厚肥沃的微酸、中性或微碱性钙质土壤中均能良好生长。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榆树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(白榆、家榆)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Ulmus pumila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耐干旱瘠薄，不耐水湿，耐盐碱，在含盐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0.3%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的盐碱土上尚能生长。但以在土壤湿润、深厚、肥沃处生长较快。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大叶榉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(榉树)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Zelkova schneideriana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在酸性、中性及钙质土上均能生长，忌水湿。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朴树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Celtis sinensis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喜深厚、湿润的中性粘质土壤,能耐轻盐碱土。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黑弹树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小叶朴）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Celtis bungeana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喜深厚、湿润的中性粘质土壤。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枫杨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Pterocarya stenoptera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对土壤要求不严，在酸性及微碱性土壤上均能生长。耐水湿，但不耐积水。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桑树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Morus alba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耐干旱又耐水湿，耐瘠薄，在微酸性、中性、石灰质及轻度盐碱 (含盐量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以下)土上均能生长，但以深厚、肥沃的砂壤土上生长最佳。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核桃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（胡桃）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Juglans regia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喜深厚肥沃的中性及钙质土壤，在瘠薄、盐碱、酸性较强及地下水过高处均生长不良。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栓皮栎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Quercus variabilis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对土壤适应力强，酸性、中性及石灰质土壤均能生长，但以在深厚、肥沃排水良好的壤土或砂壤土上生长最佳。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蒙古栎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Quercus mongolica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对土壤要求不严，酸性、中性或石灰岩的碱性土壤上都能生长，耐瘠薄，不耐水湿。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梧桐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Firmiana platanifolia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深根性，对土壤选择不严，喜钙，但在酸性土、中性土上亦能生长。忌积水。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柽柳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Tamarix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耐盐碱，在海边及盐碱地上均能良好生长，耐砂荒、耐水湿，也有一定的抗旱能力。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毛白杨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Populus tomentosa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在土壤pH值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8～8.5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时能够生长，在土层深厚、湿润肥沃的土壤中生长良好、迅速。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银白杨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Populus alba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耐旱，适应性强，耐盐碱。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旱柳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Salix matsudana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在干瘠砂土、低湿河滩、弱盐碱地均能生长。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垂柳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Salix babylonica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耐水湿，多生于水边或湿润之地，对土壤酸度不敏感，在石灰性土壤上亦能生长。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柿树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Diospyros kaki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对土壤要求不严，耐干旱，但不耐盐碱。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豆梨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Pyrus calleryana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对土壤要求不严，耐干旱、瘠薄，在碱性土中也能生长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山楂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Crataegus pinnatifida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耐旱，在深厚肥沃的土壤中生长更佳。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枇杷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Eriobotrya japonica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喜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土层深厚、土质疏松、含腐殖质多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土壤，要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保水保肥力强而又不易积水，</w:t>
            </w: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pH值为6左右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的砂质壤土为佳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合欢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(绒花树)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Albizia julibrissin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对土壤无苛求，耐干旱瘠薄,不耐水涝。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皂荚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(皂角)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Gleditsia sinensis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不择土壤，耐盐碱及石灰性土。但在深厚肥沃土壤上生长更佳。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湖北紫荆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（巨紫荆）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Cercis glabra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耐盐碱，耐水湿，适应在城市道路、河岸等各种环境下生长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加拿大紫荆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Cercis canadensis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对土壤要求不严，能在瘠薄的土壤中生长，但在疏松肥沃、排水良好的沙质土壤中生长更好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槐树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(国槐)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Sophora japonica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在石灰性土、中性土、酸性土上均能生长。以在深厚肥沃、排水良好之地生长最佳。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刺槐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(洋槐)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Robinia pseudoacacia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耐干旱、耐瘠薄，在酸性土、中性土、轻盐碱及石灰性土壤中均能生长，在沿海地区可耐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0.2%～0.3%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的土壤含盐量。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重阳木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Bischofia polycarpa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FFFFFF"/>
              </w:rPr>
              <w:t>对土壤的要求不严，在酸性土和微碱性土中皆可生长，但在湿润、肥沃的土壤中生长最好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丝棉木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（白杜）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Euonymus maackii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对土壤要求不严，耐干旱，也耐水湿，以肥沃、湿润而排水良好之土壤生长最好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乌桕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Sapium sebiferum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喜湿润、微酸性土壤，有一定的耐盐性，在含盐量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0.25%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以下的盐碱地均能适应。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枣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Ziziphus jujuba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在酸性土、钙质土及轻盐碱土上均能生长，耐干燥瘠薄，也能在河边及低湿地生长。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栾树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Koelreuteria paniculata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对土壤要求不严，石灰性及弱酸性土壤皆可。较耐干燥瘠薄，对土壤踏实的地块也能良好地生长。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无患子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Sapindus mukorossi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在微酸性土、钙质土上均能生长。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文冠果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Xanthoceras sorbifolium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在土层深厚的中性砂壤土中生长最佳。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七叶树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Aesculus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不耐瘠薄和水涝，深根性，宜在土层深厚、肥沃、湿润、排水良好的土壤中生长。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元宝枫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元宝槭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Acer truncatum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喜肥沃、排水良好的土壤，在酸性、中性、钙质土上均能生长良好。有一定的耐旱能力，但不耐涝。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三角枫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Acer buergerianum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喜温暖、湿润环境及中性至酸性土壤。耐寒，较耐水湿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鸡爪槭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Acer palmatum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喜生于深厚且排水良好的砂质土壤。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茶条槭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Acer ginnala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微酸、湿润、透水性好，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水分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条件良好的砂壤土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银白槭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Acer saccharinum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宜排水良好土壤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，喜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光，喜温凉气候，耐寒耐干燥，忌水涝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黄连木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Pistacia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耐干旱瘠薄，对土壤要求不严，微酸性、中性、和微碱性的砂质、粘质土均能适应。在湿润肥沃土壤上生长更好。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黄栌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Cotinus coggygria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耐干燥贫瘠，对土壤要求不严，中性、酸性、石灰性土壤均能生长。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臭椿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Ailanthus altissima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在钙质土、中性土、酸性土上均生长良好，在深厚肥沃湿润的砂壤土中生长更好。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楝树 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(苦楝)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Melia azedarach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耐干燥瘠薄。对土壤要求不严，在酸性土、中性土、钙质土、石灰岩山地及含盐量在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0.35%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以下的盐碱土地方均能生长。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香椿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Toona sinensis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在钙质土、中性土、酸性土上均生长良好，在深厚肥沃湿润的砂壤土中生长更好。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白蜡树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Fraxinus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耐水湿、耐盐碱。喜湿润肥沃的钙质土或砂壤土，在酸性、中性及轻盐碱土上均能生长。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流苏树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Chionanthus retusus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耐旱、耐瘠薄，但不耐涝。对土壤要求不严，中性、微酸及微碱性都能适应。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女贞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Ligustrum lucidum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喜深厚、湿润的中性粘质土壤。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泡桐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Paulownia fortunei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肉质根，不耐水湿。喜肥沃湿润砂壤土，对粘重和瘠薄土壤的适应性较强，稍耐盐碱。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楸树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Catalpa bungei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要求深厚、肥沃、湿润的土壤。耐轻盐碱土，不耐瘠薄。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花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、灌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蜡梅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Chimonanthus praecox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耐旱，忌水湿。要求肥沃、深厚、排水良好的中性或微酸性砂质壤土，忌粘土、盐碱土。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阔叶十大功劳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Mahonia bealei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耐旱，对土质要求不严，以肥沃、湿润、排水良好砂质壤土为佳。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日本小檗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Berberis thunbergii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耐旱。宜栽植在排水良好的沙质壤土中。对水分要求不严，苗期不耐水湿。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南天竹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Nandina domestica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喜排水良好的沙质壤土。对水分要求不严。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金缕梅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  <w:t>Hamamelis mollis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对土壤要求不严，以排水良好而富含腐殖质为好，畏炎热水涝。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红花继木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Loropetalum chinense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var.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 rubrum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对土壤要求不严，以排水良好而富含腐殖质的土壤生长良好。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牡丹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Paeonia suffruticosa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宜植于肥沃、疏松、排水良好的壤土或砂壤土；忌粘重土壤。肉质根，不耐水湿。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茶梅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Camellia sasanqua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喜生于疏松、肥沃、富含腐殖质的酸性土壤，以pH值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5.5～6.5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生长为佳。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金丝桃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Hypericum monogynum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对土质要求不严，喜生于微酸性、肥沃、排水良好的砂质壤土。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木槿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Hibiscus syriacus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较耐旱，喜疏松、肥沃、排水良好的土壤，也耐瘠薄，对土壤适应性也很强，在pH值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5～8.5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的土壤中都能生长，在含盐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0.3%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的盐碱地上也能生存，但有黄化现象，开花较小。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锦绣杜鹃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Rhododendron pulchrum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喜富含腐殖质、pH值在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5.5～6.5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之间的疏松性土壤，忌粘重土和通气性差的土壤。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三裂绣线菊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Spiraea trilobata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喜土壤肥沃湿润，耐旱、耐瘠薄。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麻叶绣线菊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Spiraea cantoniensis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较耐瘠、耐旱，忌湿涝。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华北珍珠梅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Sorbaria kirilowii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不择土壤，但以土层深厚、肥沃湿润的砂壤土生长更好。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火棘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Pyracantha fortuneana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耐旱、耐瘠薄。对土质要求不严，喜生于肥沃、排水良好的砂质壤土。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贴梗海棠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皱皮木瓜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Chaenomeles speciosa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较耐旱，喜深厚肥沃、排水良好的微酸性至中性土壤。耐瘠薄、忌湿涝。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石楠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Photinia serrulata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对土壤要求不严，耐瘠薄，耐微酸性土壤。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木瓜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Chaenomeles sinensis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要求土壤排水良好，不耐低湿和盐碱。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海棠花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Malus spectabilis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耐旱，但不耐水湿。几乎可植于从粘重到疏松的各类土壤，对土壤酸碱度适应范围也较广，对盐碱土有一定的适应能力，但在深厚、疏松、排水良好的微酸性 (pH值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)土壤中生长最好。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野蔷薇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Rosa multiflora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喜肥沃土壤，耐瘠薄，在粘重土壤中也能正常生长，但在疏松、肥沃、深厚的土壤中生长最佳。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月季花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Rosa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喜排水良好、疏松、中性或微酸性、富含有机质的砂壤土。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玫瑰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Rosa rugosa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耐旱,在疏松、肥沃土壤生长良好。微碱性土上也能生长。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黄刺玫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Rosa xanthina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耐瘠薄，耐干旱，较耐碱，在山地、河边、溪旁及溪流石隙中也能生长。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棣棠花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Kerria japonica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适应性较强，可在各类土壤中生长，尤喜湿润、肥沃、排水良好的中性或微酸性砂质壤土。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山桃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Amygdalus davidiana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耐旱，不耐水湿。碱性土及粘重土均不适宜。喜肥沃而排水良好的土壤。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碧桃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Amygdalus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persica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var.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Persica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f.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duplex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要求土壤为肥沃、排水良好、中性或中性偏碱的砂壤土。忌在低洼积水处栽培。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白鹃梅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Exochorda racemosa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耐旱，较耐瘠薄。对土壤条件要求不高，偏酸、偏碱性土均能适应，尤喜排水良好、深厚、肥沃而湿润的土壤。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Armeniaca mume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具一定抗旱性，几乎能在各类土壤中生长，且耐瘠薄，以中性至微酸性粘壤土或壤土为佳。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紫叶李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Prunus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cerasifera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f.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atropurpurea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喜湿润肥沃的粘质土壤，在酸性及石灰性土壤中均能生长。在湿润肥沃的粘壤中生长最佳。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樱花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（山樱花）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Cerasus serrulata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适于在排水良好、肥沃、深厚、酸性或中性偏酸的土壤中生长。不耐盐碱土和湿涝。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榆叶梅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Amygdalus triloba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以中性至微碱性肥沃而疏松的砂壤土为佳。耐旱，也耐土壤瘠薄，稍耐盐碱，不耐积水。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紫荆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Cercis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喜湿润、肥沃、排水良好土壤，微酸、微碱均能适应。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锦鸡儿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Caragana sinica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耐旱，耐瘠薄，在中性、石灰性土壤皆可生长。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紫穗槐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Amorpha fruticosa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耐旱，耐瘠薄和轻度盐碱。在中性、石灰性土壤皆可生长。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胡颓子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Elaeagnus pungens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耐旱，耐湿，对土壤要求不严，在中性、石灰性土壤皆可生长。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紫薇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Lagerstroemia indica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对土壤要求不严，耐干旱，在深厚、肥沃、湿润土壤上生长最好。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石榴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Punica granatum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喜湿润疏松肥沃、排水良好的石灰质砂壤土，喜肥，稍耐盐碱。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山茱萸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Cornus officinalis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喜微酸性、肥沃、湿润而排水良好的土壤。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红瑞木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Swida alba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喜肥沃、湿润、排水良好的砂壤土或冲积土，较耐旱，也能在湿热的环境中生长。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冬青卫矛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大叶黄杨）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Euonymus japonicus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耐干旱瘠薄，喜肥沃砂质土壤。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冬青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Cs w:val="21"/>
              </w:rPr>
              <w:t>Ilex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深根性，喜深厚肥沃之酸性土壤。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花椒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Zanthoxylum bungeanum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喜湿润肥沃砂壤土或钙质土，耐旱，不耐涝、对土壤要求不严。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夹竹桃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Nerium indicum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对土壤要求不严，喜疏松、肥沃、排水良好的中性砂质壤土，对微酸性、轻碱性土壤也能适应。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雪柳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Fontanesia fortunei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较耐旱。除盐碱地外，各种土均能生长。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金钟花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Forsythia viridissima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较耐旱、耐水湿。对土壤要求不严，在排水良好的肥 沃土壤上栽植最佳。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连翘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Forsythia suspensa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耐旱、忌涝，耐瘠薄、耐碱，对土壤适应性强，宜植于中性、微碱性或微酸的土壤中。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紫丁香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Syringa oblata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耐旱，在中性、偏酸、偏碱的土壤中都能生长。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小叶女贞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Ligustrum quihoui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适应性强，耐干旱，耐瘠薄，但以湿润、肥沃的微酸性土为最佳。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桂花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Osmanthus fragrans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适宜深厚、肥沃而排水良好、富含腐殖质的偏酸性砂质壤土。忌碱性土质和积水。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茉莉花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i/>
                <w:iCs/>
                <w:color w:val="auto"/>
              </w:rPr>
              <w:fldChar w:fldCharType="begin"/>
            </w:r>
            <w:r>
              <w:rPr>
                <w:i/>
                <w:iCs/>
                <w:color w:val="auto"/>
              </w:rPr>
              <w:instrText xml:space="preserve"> HYPERLINK "http://www.iplant.cn/frps2019/frps/Jasminum%20sambac" </w:instrText>
            </w:r>
            <w:r>
              <w:rPr>
                <w:i/>
                <w:iCs/>
                <w:color w:val="auto"/>
              </w:rPr>
              <w:fldChar w:fldCharType="separate"/>
            </w:r>
            <w:r>
              <w:rPr>
                <w:rStyle w:val="14"/>
                <w:rFonts w:ascii="宋体" w:hAnsi="宋体" w:eastAsia="宋体" w:cs="Arial"/>
                <w:i/>
                <w:iCs/>
                <w:color w:val="auto"/>
                <w:szCs w:val="21"/>
                <w:u w:val="none"/>
                <w:shd w:val="clear" w:color="auto" w:fill="FFFFFF"/>
              </w:rPr>
              <w:t>Jasminum sambac</w:t>
            </w:r>
            <w:r>
              <w:rPr>
                <w:rStyle w:val="14"/>
                <w:rFonts w:ascii="宋体" w:hAnsi="宋体" w:eastAsia="宋体" w:cs="Arial"/>
                <w:i/>
                <w:iCs/>
                <w:color w:val="auto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喜肥沃、疏松的微酸性土壤。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迎春花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Jasminum nudiflorum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在干燥、排水良好的土壤上生长最佳，切忌植于雨后积水的低洼处。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桅子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Gardenia jasminoides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适生于湿润、疏松、肥沃、排水好的酸性土壤上，耐寒性较差。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锦带花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Weigela florida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耐旱，忌积水。对土壤要求不严，但以深厚肥沃壤土中生长最佳。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接骨木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Sambucus williamsii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耐旱，忌水涝，适合种于肥沃、疏松、湿润的壤土或冲积土中。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金银忍冬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（金银木）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Lonicera maackii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耐旱，耐瘠薄，在肥沃、深厚、湿润土壤中生长旺盛。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欧洲荚蒾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欧洲绣球）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Viburnum opulus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对土壤要求不严，微酸、微碱均可适应，但以深厚、肥沃、湿润、排水良好的壤土更为适宜。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藤本类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紫藤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Wisteria sinensis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对气候和土壤的适应性强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较耐寒，能耐水湿及瘠薄土壤，喜光，较耐阴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以土层深厚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肥沃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，排水良好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的土壤生长最佳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凌霄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Campsis grandiflora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深厚肥沃，排水良好的微酸性土壤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木香花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Rosa banksiae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对土壤要求不严，较耐寒，能耐水湿及瘠薄土壤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但在疏松肥沃、排水良好的土壤中生长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藤蔓月季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Rosa climbing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适应性强，耐寒耐旱，喜日照充足，空气流通，排水良好而避风的环境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五叶地锦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Parthenocissus quinquefolia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对土壤与气候适应性较强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耐荫、耐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"https://baike.so.com/doc/5437281-5675590.html" \t "https://baike.so.com/doc/_blank"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贫瘠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，在中性或偏碱性土壤中均可生长。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扶芳藤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Euonymus fortunei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对土壤适应性强，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在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酸碱及中性土壤均能正常生长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络石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Trachelospermum jasminoides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，在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肥力中等的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微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酸性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或微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碱性轻粘土及沙壤土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上均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可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良好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生长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常春藤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Hedera nepalensis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喜湿润、疏松、肥沃的土壤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不耐盐碱。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忍冬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（金银花）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Lonicera Japonica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，较耐干旱瘠薄，但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以湿润、肥沃的深厚沙质壤上生长最佳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蔓长春花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Vinca major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pStyle w:val="4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宜肥沃、疏松和排水良好的砂质壤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土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毛竹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Phyllostachys heterocycla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喜深厚肥沃的土壤。酸性、石灰性土皆能适应。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刚竹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Phyllostachys sulphurea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喜深厚、肥沃土壤，微耐盐碱。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早园竹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Phyllostachys propinqua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轻碱地，</w: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Cs w:val="21"/>
              </w:rPr>
              <w:instrText xml:space="preserve">HYPERLINK "https://baike.so.com/doc/2891740-3051665.html" \t "https://baike.so.com/doc/_blank"</w:instrTex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Cs w:val="21"/>
              </w:rPr>
              <w:t>沙土</w:t>
            </w:r>
            <w:r>
              <w:rPr>
                <w:rFonts w:ascii="宋体" w:hAnsi="宋体" w:eastAsia="宋体" w:cs="宋体"/>
                <w:color w:val="auto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color w:val="auto"/>
                <w:szCs w:val="21"/>
              </w:rPr>
              <w:t>及低洼地均能生长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Phyllostachys nigra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酸性、石灰性土壤皆可生长。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苦竹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Pleioblastus amarus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喜深厚肥沃、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微酸至中性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阔叶箬竹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Indocalamus latifolius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深厚肥沃、疏松透气、微酸至中性土壤。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孝顺竹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Bambusa multiplex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喜排水良好，湿润的土壤。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芦竹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Arundo donax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喜湿、多生长于河岸、道旁，适应性较强。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草本花卉类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芍药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Paeonia lactiflora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，在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疏松、排水良好的中性、石灰性、弱酸性土壤均可良好生长，但在气候温和、土壤肥沃条件下，开花大而多。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金鱼草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/>
                <w:i/>
                <w:iCs/>
                <w:color w:val="auto"/>
                <w:szCs w:val="21"/>
                <w:lang w:bidi="ar"/>
              </w:rPr>
              <w:t>Antirrhinum majus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喜疏松、肥沃、排水良好的土壤。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金盏花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（金盏菊）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Calendula officinalis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耐瘠薄土壤。但喜向阳疏松土壤，在气候温和、土壤肥沃条件下，开花大而多。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翠菊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Callistephus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喜肥沃潮润而又排水良好的壤土。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金鸡菊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Coreopsis drummondii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对土壤要求不严，耐干旱及瘠薄土壤。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地被菊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Chrysanthemum morifolium 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耐旱、忌水涝，对土壤要求不严，可在瘠薄的坡地上正常生长。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矢车菊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Centaurea cyanus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可在瘠薄的土壤上正常生长。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万寿菊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Tagetes erecta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可在瘠薄的土壤上正常生长。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大波斯菊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秋英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Cosmos bipinnata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可在瘠薄的土壤上正常生长。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天人菊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Gaillardia pulchella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要求疏松，排水良好的土壤。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早小菊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Dendranthema morifolia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耐旱、忌水涝，对土壤要求不严，可在瘠薄的土壤上正常生长。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异果菊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/>
                <w:i/>
                <w:iCs/>
                <w:color w:val="auto"/>
                <w:szCs w:val="21"/>
                <w:shd w:val="clear" w:color="auto" w:fill="FFFFFF"/>
              </w:rPr>
              <w:t>Dimorphotheca sinuata</w:t>
            </w:r>
            <w:r>
              <w:rPr>
                <w:rFonts w:ascii="宋体" w:hAnsi="宋体" w:eastAsia="宋体"/>
                <w:i w:val="0"/>
                <w:iCs w:val="0"/>
                <w:color w:val="auto"/>
                <w:szCs w:val="21"/>
                <w:shd w:val="clear" w:color="auto" w:fill="FFFFFF"/>
              </w:rPr>
              <w:t>‘Spring Flash’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喜土壤疏松、排水良好的环境。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麦秆菊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蜡菊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Helichrysum bracteatum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喜湿润肥沃而排水良好的粘质壤土。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荷兰菊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Aster novi-belgii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耐旱、耐瘠薄。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桂园菊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/>
                <w:i/>
                <w:iCs/>
                <w:color w:val="auto"/>
                <w:szCs w:val="21"/>
                <w:shd w:val="clear" w:color="auto" w:fill="FFFFFF"/>
              </w:rPr>
              <w:t>Acmella oleracea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忌干旱。喜疏松，肥沃的土壤。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银边翠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Euphorbia marginata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喜肥沃而排水良好的砂质壤土，忌湿涝。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黑心菊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黑心金光菊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Rudbeckia hirta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耐旱，较耐水湿，对肥水要求不高。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大丽花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Dahlia pinnata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喜排水良好的肥沃沙质土，忌水涝，怕高温干旱。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千日红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Gomphrena globosa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适应性较强，一般土壤均可栽培。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凤仙花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Impatiens balsamina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对土壤适应性强，但喜潮润而排水良好的土壤。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长春花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Catharanthus roseus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对土壤适应性强，但喜潮润而排水良好的土壤。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/>
                <w:color w:val="auto"/>
                <w:szCs w:val="21"/>
                <w:shd w:val="clear" w:color="auto" w:fill="FFFFFF"/>
              </w:rPr>
              <w:t>红花亚麻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（大花亚麻）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/>
                <w:i/>
                <w:iCs/>
                <w:color w:val="auto"/>
                <w:szCs w:val="21"/>
                <w:shd w:val="clear" w:color="auto" w:fill="FFFFFF"/>
              </w:rPr>
              <w:t>Linum grandiflorum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喜排水良好、富含腐殖质的砂质土壤。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三色堇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Viola tricolor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喜阴凉潮润的砂质土壤。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勿忘草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Myosotis silvatica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喜湿润肥沃土壤，忌积水。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四季海棠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Begonia semperflorens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怕旱，忌涝。在肥沃、排水良好的砂质壤土上生长良好。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一串红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Salvia splendens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一般土壤均可栽培，但在向阳、肥沃的土壤上生长更佳。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苋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（三色苋）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Amaranthus tricolor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能耐旱、耐碱，一般土壤均可栽培。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朱顶红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Hippeastrum rutilum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喜肥沃、排水良好的砂质壤土。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鸢尾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Iris tectorum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喜湿、可栽于水湿地。在庭院中多布置于房屋四周较湿的空坪隙地，特别是墙根、坡下、林缘、池畔等。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鸡冠花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Celosia cristata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要求疏松、肥沃、排水良好的土壤。喜肥，不耐瘠薄。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金莲花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Trollius 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喜排水良好的肥沃土壤。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香雪球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Lobularia maritima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对土壤要求不严，但不可过湿。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美女樱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Verbena hybrida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不耐旱，对土壤要求不严。但在疏松、肥沃及排水良好的土壤生长最佳。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萱草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Hemerocallis fulva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耐瘠、耐旱能力均强，只要排水良好，均可生长繁茂。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虞美人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Papaver rhoeas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喜疏松肥沃、排水良好的砂质土。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福禄考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小天蓝绣球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Phlox drummondii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不耐旱，忌涝，宜排水良好、疏松的壤土。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缕丝花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（霞草）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Gypsophila elegans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要求含石灰质、肥沃而排水良好的土壤。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紫罗兰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Matthiola incana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喜疏松肥沃、土层深厚、排水良好的土壤。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紫茉莉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Mirabilis jalapa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喜肥沃疏松的砂质土壤和稍有荫蔽环境。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风铃草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Campanula  punctata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喜疏松、肥沃而排水良好的土壤。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香石竹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Dianthus caryophyllus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喜通透性好，富含腐殖质的粘壤土。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蜀葵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Althaea rosea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适应性较强，但在深厚肥沃的砂质壤土上生长更佳。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天竺葵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Pelargonium hortorum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要求排水良好的砂质壤土，喜阳光，喜肥水。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水仙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Narcissus tazetta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喜湿润肥沃的砂质壤土。更适于有流水的水田或湿地栽培。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风信子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textAlignment w:val="bottom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/>
                <w:i/>
                <w:iCs/>
                <w:color w:val="auto"/>
                <w:kern w:val="0"/>
                <w:szCs w:val="21"/>
                <w:lang w:bidi="ar"/>
              </w:rPr>
              <w:t>Hyacinthus orientalis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要求排水良好的疏松肥沃土壤。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百合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Lilium brownii 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var.</w:t>
            </w:r>
            <w:r>
              <w:rPr>
                <w:rFonts w:hint="eastAsia"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viridulum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以富含腐殖质、土层疏松深厚、能保持适当潮湿而又排水良好的土壤为宜。多数种类喜酸性土壤，忌连作。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葱莲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（葱兰）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Zephyranthes candida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性喜湿润土壤，但耐旱力很强。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美人蕉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Canna indica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但以肥沃湿润而排水良好的土壤最佳。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玉簪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Hosta plantaginea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宜选土层深厚、排水良好、肥沃的砂质壤土，以荫蔽处为好。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马蔺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 xml:space="preserve">Iris lactea </w:t>
            </w:r>
            <w:r>
              <w:rPr>
                <w:rFonts w:ascii="宋体" w:hAnsi="宋体" w:eastAsia="宋体" w:cs="Arial"/>
                <w:i w:val="0"/>
                <w:iCs w:val="0"/>
                <w:color w:val="auto"/>
                <w:szCs w:val="21"/>
                <w:shd w:val="clear" w:color="auto" w:fill="FFFFFF"/>
              </w:rPr>
              <w:t>var.</w:t>
            </w:r>
            <w:r>
              <w:rPr>
                <w:rFonts w:hint="eastAsia" w:ascii="宋体" w:hAnsi="宋体" w:eastAsia="宋体" w:cs="Arial"/>
                <w:i/>
                <w:iCs/>
                <w:color w:val="auto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chinensis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极耐干旱，耐盐碱，可在砂土及重黏土中生长，喜光耐瘠，较耐水湿。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唐菖蒲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Gladiolus gandavensis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喜肥沃、排水良好的砂质壤土。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晚香玉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Polianthes tuberosa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宜排水良好的砂质壤土，对肥水要求较高。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widowControl/>
              <w:shd w:val="clear" w:color="auto" w:fill="FFFFFF"/>
              <w:spacing w:before="100"/>
              <w:jc w:val="center"/>
              <w:rPr>
                <w:rFonts w:ascii="宋体" w:hAnsi="宋体" w:eastAsia="宋体" w:cs="Arial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kern w:val="0"/>
                <w:szCs w:val="21"/>
                <w:shd w:val="clear" w:color="auto" w:fill="FFFFFF"/>
                <w:lang w:bidi="ar"/>
              </w:rPr>
              <w:t>莲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（荷花）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Style w:val="13"/>
                <w:rFonts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Nelumbo</w:t>
            </w:r>
            <w:r>
              <w:rPr>
                <w:rStyle w:val="13"/>
                <w:rFonts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 nucifera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适宜生长于水泽、池塘、湖泊的浅水之中。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睡莲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/>
                <w:iCs/>
                <w:color w:val="auto"/>
                <w:szCs w:val="21"/>
                <w:shd w:val="clear" w:color="auto" w:fill="FFFFFF"/>
              </w:rPr>
              <w:t>Nymphaea tetragona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池塘栽培，早春应将池水放尽，将泥土疏松，并施入基肥，栽后灌水。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03" w:type="dxa"/>
            <w:gridSpan w:val="3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</w:rPr>
              <w:t>草坪类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高羊茅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Festuca elata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在肥沃、潮湿、富含</w: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Cs w:val="21"/>
              </w:rPr>
              <w:instrText xml:space="preserve">HYPERLINK "https://baike.so.com/doc/116489-122981.html" \t "https://baike.so.com/doc/_blank"</w:instrTex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Cs w:val="21"/>
              </w:rPr>
              <w:t>有机质</w:t>
            </w:r>
            <w:r>
              <w:rPr>
                <w:rFonts w:ascii="宋体" w:hAnsi="宋体" w:eastAsia="宋体" w:cs="宋体"/>
                <w:color w:val="auto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color w:val="auto"/>
                <w:szCs w:val="21"/>
              </w:rPr>
              <w:t>、pH值为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5.5～8.5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的细</w: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begin"/>
            </w:r>
            <w:r>
              <w:rPr>
                <w:rFonts w:ascii="宋体" w:hAnsi="宋体" w:eastAsia="宋体"/>
                <w:color w:val="auto"/>
                <w:szCs w:val="21"/>
              </w:rPr>
              <w:instrText xml:space="preserve">HYPERLINK "https://baike.so.com/doc/6147307-6360492.html" \t "https://baike.so.com/doc/_blank"</w:instrText>
            </w:r>
            <w:r>
              <w:rPr>
                <w:rFonts w:ascii="宋体" w:hAnsi="宋体" w:eastAsia="宋体"/>
                <w:color w:val="auto"/>
                <w:szCs w:val="21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Cs w:val="21"/>
              </w:rPr>
              <w:t>壤土</w:t>
            </w:r>
            <w:r>
              <w:rPr>
                <w:rFonts w:ascii="宋体" w:hAnsi="宋体" w:eastAsia="宋体" w:cs="宋体"/>
                <w:color w:val="auto"/>
                <w:szCs w:val="21"/>
              </w:rPr>
              <w:fldChar w:fldCharType="end"/>
            </w:r>
            <w:r>
              <w:rPr>
                <w:rFonts w:ascii="宋体" w:hAnsi="宋体" w:eastAsia="宋体" w:cs="宋体"/>
                <w:color w:val="auto"/>
                <w:szCs w:val="21"/>
              </w:rPr>
              <w:t>中生长良好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草地早熟禾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Poa pratensis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耐旱性较差。喜排水良好、质地疏松的壤土，尤以富于腐殖质的土壤为宜。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加拿大早熟禾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Poa compressa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适应性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较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强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在贫瘠、较干旱土壤上能很好生长。其适宜的土壤pH值为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5.5～6.5。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结缕草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Zoysia japonica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抗旱能力很强。对土壤要求不严，适应范围广，喜微酸性至中性土壤，并具有一定的抗碱性。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细叶结缕草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Arial"/>
                <w:i/>
                <w:iCs/>
                <w:color w:val="auto"/>
                <w:szCs w:val="21"/>
                <w:shd w:val="clear" w:color="auto" w:fill="FFFFFF"/>
              </w:rPr>
              <w:t>Zoysia tenuifolia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喜湿润土壤环境，也具较强的抗旱性，对土壤要求不严，以肥沃、pH值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6.0～7.8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最为适宜。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黑麦草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auto"/>
                <w:szCs w:val="21"/>
              </w:rPr>
              <w:t>Lolium perenne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不能耐受极端的干旱。适应的土壤范围广，但以微酸性、肥力中上的土壤为宜。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狗牙根</w:t>
            </w:r>
          </w:p>
        </w:tc>
        <w:tc>
          <w:tcPr>
            <w:tcW w:w="358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</w:pPr>
            <w:r>
              <w:rPr>
                <w:rFonts w:ascii="宋体" w:hAnsi="宋体" w:eastAsia="宋体" w:cs="宋体"/>
                <w:i/>
                <w:iCs/>
                <w:color w:val="auto"/>
                <w:szCs w:val="21"/>
              </w:rPr>
              <w:t>Cynodon dactylon</w:t>
            </w:r>
          </w:p>
        </w:tc>
        <w:tc>
          <w:tcPr>
            <w:tcW w:w="398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耐盐碱性强，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耐干旱瘠薄，</w:t>
            </w:r>
            <w:r>
              <w:rPr>
                <w:rFonts w:ascii="宋体" w:hAnsi="宋体" w:eastAsia="宋体" w:cs="Arial"/>
                <w:color w:val="auto"/>
                <w:szCs w:val="21"/>
                <w:shd w:val="clear" w:color="auto" w:fill="FFFFFF"/>
              </w:rPr>
              <w:t>喜排水良好的肥沃土壤</w:t>
            </w:r>
            <w:r>
              <w:rPr>
                <w:rFonts w:hint="eastAsia" w:ascii="宋体" w:hAnsi="宋体" w:eastAsia="宋体" w:cs="Arial"/>
                <w:color w:val="auto"/>
                <w:szCs w:val="21"/>
                <w:shd w:val="clear" w:color="auto" w:fill="FFFFFF"/>
              </w:rPr>
              <w:t>。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ngravers MT">
    <w:panose1 w:val="02090707080505020304"/>
    <w:charset w:val="00"/>
    <w:family w:val="roman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MWM5ZTRmOWQ2NGRhMjczNmFjYjdlYzQwZWRkMDEifQ=="/>
  </w:docVars>
  <w:rsids>
    <w:rsidRoot w:val="00EB1238"/>
    <w:rsid w:val="0006551C"/>
    <w:rsid w:val="000C3D6E"/>
    <w:rsid w:val="000D1506"/>
    <w:rsid w:val="000F6699"/>
    <w:rsid w:val="00116576"/>
    <w:rsid w:val="001961E7"/>
    <w:rsid w:val="00260DAF"/>
    <w:rsid w:val="002F5B33"/>
    <w:rsid w:val="004A7910"/>
    <w:rsid w:val="004C53CC"/>
    <w:rsid w:val="0059115B"/>
    <w:rsid w:val="005C1BE5"/>
    <w:rsid w:val="00653192"/>
    <w:rsid w:val="00712B30"/>
    <w:rsid w:val="007B0CC4"/>
    <w:rsid w:val="007C4921"/>
    <w:rsid w:val="008F6D26"/>
    <w:rsid w:val="00983EF5"/>
    <w:rsid w:val="009E7380"/>
    <w:rsid w:val="00A9723B"/>
    <w:rsid w:val="00AC31AB"/>
    <w:rsid w:val="00C10ABA"/>
    <w:rsid w:val="00D12222"/>
    <w:rsid w:val="00D84A83"/>
    <w:rsid w:val="00DA457C"/>
    <w:rsid w:val="00E169F8"/>
    <w:rsid w:val="00EB1238"/>
    <w:rsid w:val="00FA3CED"/>
    <w:rsid w:val="014D4677"/>
    <w:rsid w:val="020B2E04"/>
    <w:rsid w:val="026D7180"/>
    <w:rsid w:val="03017BC9"/>
    <w:rsid w:val="05906839"/>
    <w:rsid w:val="05F144FF"/>
    <w:rsid w:val="06194DB3"/>
    <w:rsid w:val="07660241"/>
    <w:rsid w:val="07BB4D2B"/>
    <w:rsid w:val="07D35EAA"/>
    <w:rsid w:val="07E13D6B"/>
    <w:rsid w:val="08031F33"/>
    <w:rsid w:val="083B011E"/>
    <w:rsid w:val="084819E0"/>
    <w:rsid w:val="089963F4"/>
    <w:rsid w:val="09063A89"/>
    <w:rsid w:val="09120680"/>
    <w:rsid w:val="0A002BCE"/>
    <w:rsid w:val="0A14667A"/>
    <w:rsid w:val="0AD53615"/>
    <w:rsid w:val="0B3B3792"/>
    <w:rsid w:val="0BBE6967"/>
    <w:rsid w:val="0BC77520"/>
    <w:rsid w:val="0C601702"/>
    <w:rsid w:val="0C776A4C"/>
    <w:rsid w:val="0D043071"/>
    <w:rsid w:val="0D08247E"/>
    <w:rsid w:val="0D2B57C0"/>
    <w:rsid w:val="0DBB4A48"/>
    <w:rsid w:val="0E471792"/>
    <w:rsid w:val="0F1A5561"/>
    <w:rsid w:val="0FD61CDB"/>
    <w:rsid w:val="0FFB3359"/>
    <w:rsid w:val="10120F66"/>
    <w:rsid w:val="101C0036"/>
    <w:rsid w:val="104C1371"/>
    <w:rsid w:val="115B06EA"/>
    <w:rsid w:val="12F52CC4"/>
    <w:rsid w:val="130449CC"/>
    <w:rsid w:val="133D09EF"/>
    <w:rsid w:val="14423DE3"/>
    <w:rsid w:val="15F94C05"/>
    <w:rsid w:val="16BC60CF"/>
    <w:rsid w:val="16E6314C"/>
    <w:rsid w:val="16E876F7"/>
    <w:rsid w:val="16EF2001"/>
    <w:rsid w:val="16F00515"/>
    <w:rsid w:val="1741653A"/>
    <w:rsid w:val="17B816C5"/>
    <w:rsid w:val="18F003B7"/>
    <w:rsid w:val="19365456"/>
    <w:rsid w:val="19946E8F"/>
    <w:rsid w:val="19E971DB"/>
    <w:rsid w:val="1A525A48"/>
    <w:rsid w:val="1A6A2A32"/>
    <w:rsid w:val="1ABD2B13"/>
    <w:rsid w:val="1AC33221"/>
    <w:rsid w:val="1B7B7248"/>
    <w:rsid w:val="1BF56CA1"/>
    <w:rsid w:val="1C33473D"/>
    <w:rsid w:val="1CA4563B"/>
    <w:rsid w:val="1E2C40A4"/>
    <w:rsid w:val="1E3D2365"/>
    <w:rsid w:val="1E80313D"/>
    <w:rsid w:val="1EAF5C9A"/>
    <w:rsid w:val="1FCD6C57"/>
    <w:rsid w:val="1FE6710E"/>
    <w:rsid w:val="20631369"/>
    <w:rsid w:val="207A6434"/>
    <w:rsid w:val="20B01587"/>
    <w:rsid w:val="22C73525"/>
    <w:rsid w:val="23A777BF"/>
    <w:rsid w:val="247615EC"/>
    <w:rsid w:val="24821D35"/>
    <w:rsid w:val="253D10F5"/>
    <w:rsid w:val="25AA7D33"/>
    <w:rsid w:val="26383B1A"/>
    <w:rsid w:val="26E1123A"/>
    <w:rsid w:val="275F0ADD"/>
    <w:rsid w:val="27FC27CF"/>
    <w:rsid w:val="28E31299"/>
    <w:rsid w:val="28FA4952"/>
    <w:rsid w:val="29D809A3"/>
    <w:rsid w:val="29EA6657"/>
    <w:rsid w:val="29F76EB0"/>
    <w:rsid w:val="2A383867"/>
    <w:rsid w:val="2B3A155E"/>
    <w:rsid w:val="2BB92785"/>
    <w:rsid w:val="2BBD714F"/>
    <w:rsid w:val="2BBE1EC9"/>
    <w:rsid w:val="2BC4508F"/>
    <w:rsid w:val="2BE7396B"/>
    <w:rsid w:val="2BF612E4"/>
    <w:rsid w:val="2C167BD8"/>
    <w:rsid w:val="2C5D1363"/>
    <w:rsid w:val="2D0839C4"/>
    <w:rsid w:val="2D1F1062"/>
    <w:rsid w:val="2D941824"/>
    <w:rsid w:val="2E3C5E1B"/>
    <w:rsid w:val="2E823302"/>
    <w:rsid w:val="2F7610B9"/>
    <w:rsid w:val="2FAD2601"/>
    <w:rsid w:val="30917F49"/>
    <w:rsid w:val="3129612A"/>
    <w:rsid w:val="31D74F27"/>
    <w:rsid w:val="32582CF8"/>
    <w:rsid w:val="326F120E"/>
    <w:rsid w:val="327360D5"/>
    <w:rsid w:val="32884FFC"/>
    <w:rsid w:val="328D3512"/>
    <w:rsid w:val="331D6A1D"/>
    <w:rsid w:val="33492641"/>
    <w:rsid w:val="3388046C"/>
    <w:rsid w:val="3421711A"/>
    <w:rsid w:val="347E527F"/>
    <w:rsid w:val="34A51AF9"/>
    <w:rsid w:val="34F053F7"/>
    <w:rsid w:val="34F62354"/>
    <w:rsid w:val="356B53D7"/>
    <w:rsid w:val="359753D9"/>
    <w:rsid w:val="35B53F42"/>
    <w:rsid w:val="35BF4E3C"/>
    <w:rsid w:val="361718DB"/>
    <w:rsid w:val="361E6FF4"/>
    <w:rsid w:val="36260A17"/>
    <w:rsid w:val="36315228"/>
    <w:rsid w:val="36415851"/>
    <w:rsid w:val="3784633D"/>
    <w:rsid w:val="37B002AE"/>
    <w:rsid w:val="37D73AD3"/>
    <w:rsid w:val="384D5AAA"/>
    <w:rsid w:val="38C43C96"/>
    <w:rsid w:val="39030B7E"/>
    <w:rsid w:val="39AB195F"/>
    <w:rsid w:val="39F15E95"/>
    <w:rsid w:val="3A9C574C"/>
    <w:rsid w:val="3AD345C3"/>
    <w:rsid w:val="3B070E17"/>
    <w:rsid w:val="3B5953EB"/>
    <w:rsid w:val="3B871F58"/>
    <w:rsid w:val="3BC767F9"/>
    <w:rsid w:val="3C7C5835"/>
    <w:rsid w:val="3D4225DB"/>
    <w:rsid w:val="3D632551"/>
    <w:rsid w:val="3E9A069A"/>
    <w:rsid w:val="3EDC25BB"/>
    <w:rsid w:val="40184BE1"/>
    <w:rsid w:val="416424FE"/>
    <w:rsid w:val="43346E69"/>
    <w:rsid w:val="43672D9B"/>
    <w:rsid w:val="437B2BA0"/>
    <w:rsid w:val="46754B08"/>
    <w:rsid w:val="46780E1B"/>
    <w:rsid w:val="46927511"/>
    <w:rsid w:val="46955E71"/>
    <w:rsid w:val="46B2185A"/>
    <w:rsid w:val="47590451"/>
    <w:rsid w:val="4760764E"/>
    <w:rsid w:val="47B642F1"/>
    <w:rsid w:val="4808458D"/>
    <w:rsid w:val="481B3258"/>
    <w:rsid w:val="484336AB"/>
    <w:rsid w:val="48A9105F"/>
    <w:rsid w:val="493A37F1"/>
    <w:rsid w:val="49837AD2"/>
    <w:rsid w:val="49B06B1E"/>
    <w:rsid w:val="49C67FF1"/>
    <w:rsid w:val="49D00F6E"/>
    <w:rsid w:val="4A4E3D8A"/>
    <w:rsid w:val="4A696166"/>
    <w:rsid w:val="4B366D38"/>
    <w:rsid w:val="4B620A3A"/>
    <w:rsid w:val="4B7C13AE"/>
    <w:rsid w:val="4BEE392E"/>
    <w:rsid w:val="4CAE2D93"/>
    <w:rsid w:val="4CE20DFC"/>
    <w:rsid w:val="4D9329DF"/>
    <w:rsid w:val="4DA14D44"/>
    <w:rsid w:val="4DA811A5"/>
    <w:rsid w:val="4DE25591"/>
    <w:rsid w:val="4E50267E"/>
    <w:rsid w:val="4E5E1E6D"/>
    <w:rsid w:val="4E604FB7"/>
    <w:rsid w:val="4EDA073A"/>
    <w:rsid w:val="4F9C05C7"/>
    <w:rsid w:val="50194BF4"/>
    <w:rsid w:val="5029025D"/>
    <w:rsid w:val="505F0FDC"/>
    <w:rsid w:val="50BB2E08"/>
    <w:rsid w:val="51101E39"/>
    <w:rsid w:val="512F2A1E"/>
    <w:rsid w:val="519255B5"/>
    <w:rsid w:val="51BD18B9"/>
    <w:rsid w:val="524F6D92"/>
    <w:rsid w:val="52621DCF"/>
    <w:rsid w:val="539D4D35"/>
    <w:rsid w:val="54754BEC"/>
    <w:rsid w:val="551A64CE"/>
    <w:rsid w:val="553B7BE4"/>
    <w:rsid w:val="553C67F8"/>
    <w:rsid w:val="553F3F5D"/>
    <w:rsid w:val="55546EF7"/>
    <w:rsid w:val="556E719E"/>
    <w:rsid w:val="55AE0F7D"/>
    <w:rsid w:val="56EF6B29"/>
    <w:rsid w:val="572B4F41"/>
    <w:rsid w:val="5AFF16B3"/>
    <w:rsid w:val="5C2657DC"/>
    <w:rsid w:val="5C5A5C04"/>
    <w:rsid w:val="5C741C2D"/>
    <w:rsid w:val="5D1C5389"/>
    <w:rsid w:val="5D5A6EF6"/>
    <w:rsid w:val="5E053485"/>
    <w:rsid w:val="5EF57055"/>
    <w:rsid w:val="5F0975C6"/>
    <w:rsid w:val="5FC52ECB"/>
    <w:rsid w:val="5FD435DA"/>
    <w:rsid w:val="60452930"/>
    <w:rsid w:val="60F91DFA"/>
    <w:rsid w:val="60F97617"/>
    <w:rsid w:val="613D00F4"/>
    <w:rsid w:val="61A22D98"/>
    <w:rsid w:val="6200643D"/>
    <w:rsid w:val="625C73EB"/>
    <w:rsid w:val="62821AAC"/>
    <w:rsid w:val="62AE5E99"/>
    <w:rsid w:val="63293771"/>
    <w:rsid w:val="63B7451C"/>
    <w:rsid w:val="649C7F73"/>
    <w:rsid w:val="64DE2339"/>
    <w:rsid w:val="655F4947"/>
    <w:rsid w:val="65CA6D47"/>
    <w:rsid w:val="670F2C7E"/>
    <w:rsid w:val="67242BCD"/>
    <w:rsid w:val="67980A2A"/>
    <w:rsid w:val="6870599E"/>
    <w:rsid w:val="68774F7F"/>
    <w:rsid w:val="68BC2712"/>
    <w:rsid w:val="69DF4B8A"/>
    <w:rsid w:val="6B8C0D18"/>
    <w:rsid w:val="6BCA79DB"/>
    <w:rsid w:val="6C6D0B73"/>
    <w:rsid w:val="6E182D60"/>
    <w:rsid w:val="6EDA00EA"/>
    <w:rsid w:val="6FAF33CF"/>
    <w:rsid w:val="70B81AFF"/>
    <w:rsid w:val="722449AC"/>
    <w:rsid w:val="7242215A"/>
    <w:rsid w:val="73450ABF"/>
    <w:rsid w:val="75265D63"/>
    <w:rsid w:val="77644920"/>
    <w:rsid w:val="778C4D30"/>
    <w:rsid w:val="77AE203F"/>
    <w:rsid w:val="78886D34"/>
    <w:rsid w:val="79112BCF"/>
    <w:rsid w:val="79323C14"/>
    <w:rsid w:val="796A1C59"/>
    <w:rsid w:val="798E3ED6"/>
    <w:rsid w:val="7A251BD6"/>
    <w:rsid w:val="7A5D2192"/>
    <w:rsid w:val="7A5F7B29"/>
    <w:rsid w:val="7AF661D7"/>
    <w:rsid w:val="7B461F01"/>
    <w:rsid w:val="7C8B1CC6"/>
    <w:rsid w:val="7CEC5AE4"/>
    <w:rsid w:val="7E5F22E5"/>
    <w:rsid w:val="7E642478"/>
    <w:rsid w:val="7FA77AA0"/>
    <w:rsid w:val="7FCC6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sz w:val="25"/>
      <w:szCs w:val="25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customStyle="1" w:styleId="16">
    <w:name w:val="标题 2 字符"/>
    <w:link w:val="3"/>
    <w:qFormat/>
    <w:uiPriority w:val="0"/>
    <w:rPr>
      <w:rFonts w:ascii="Arial" w:hAnsi="Arial" w:eastAsia="黑体"/>
      <w:b/>
      <w:sz w:val="32"/>
    </w:rPr>
  </w:style>
  <w:style w:type="paragraph" w:styleId="17">
    <w:name w:val="List Paragraph"/>
    <w:basedOn w:val="1"/>
    <w:qFormat/>
    <w:uiPriority w:val="1"/>
    <w:pPr>
      <w:spacing w:before="18"/>
      <w:ind w:left="103"/>
    </w:pPr>
  </w:style>
  <w:style w:type="paragraph" w:customStyle="1" w:styleId="18">
    <w:name w:val="Table Paragraph"/>
    <w:basedOn w:val="1"/>
    <w:qFormat/>
    <w:uiPriority w:val="1"/>
    <w:pPr>
      <w:jc w:val="center"/>
    </w:pPr>
    <w:rPr>
      <w:rFonts w:ascii="Times New Roman" w:hAnsi="Times New Roman" w:eastAsia="Times New Roman"/>
    </w:rPr>
  </w:style>
  <w:style w:type="table" w:customStyle="1" w:styleId="19">
    <w:name w:val="Table Normal"/>
    <w:unhideWhenUsed/>
    <w:qFormat/>
    <w:uiPriority w:val="2"/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"/>
    <w:unhideWhenUsed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标准文件_段"/>
    <w:basedOn w:val="1"/>
    <w:link w:val="23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 w:hAnsi="Times New Roman"/>
      <w:kern w:val="0"/>
      <w:szCs w:val="20"/>
    </w:rPr>
  </w:style>
  <w:style w:type="character" w:customStyle="1" w:styleId="23">
    <w:name w:val="标准文件_段 Char"/>
    <w:basedOn w:val="12"/>
    <w:link w:val="22"/>
    <w:qFormat/>
    <w:uiPriority w:val="0"/>
    <w:rPr>
      <w:rFonts w:hint="eastAsia" w:ascii="宋体" w:hAnsi="Times New Roman" w:eastAsia="宋体" w:cs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11942</Words>
  <Characters>16345</Characters>
  <Lines>138</Lines>
  <Paragraphs>38</Paragraphs>
  <TotalTime>3</TotalTime>
  <ScaleCrop>false</ScaleCrop>
  <LinksUpToDate>false</LinksUpToDate>
  <CharactersWithSpaces>17344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2023-07-30T07:06:00Z</dcterms:created>
  <dc:creator>Administrator</dc:creator>
  <cp:lastModifiedBy>七彩小兔</cp:lastModifiedBy>
  <dcterms:modified xsi:type="dcterms:W3CDTF">2024-01-15T08:15:11Z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40EA97217019408B98C8A4BFF9627960_13</vt:lpwstr>
  </property>
</Properties>
</file>